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61" w:rsidRPr="00E016D3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sz w:val="40"/>
          <w:szCs w:val="40"/>
        </w:rPr>
      </w:pPr>
      <w:r w:rsidRPr="00EF33D8">
        <w:rPr>
          <w:rFonts w:ascii="Tunga" w:hAnsi="Tunga" w:cs="Tunga"/>
          <w:sz w:val="40"/>
          <w:szCs w:val="40"/>
        </w:rPr>
        <w:t>Dai dati sugli sfratti</w:t>
      </w:r>
      <w:r>
        <w:rPr>
          <w:rFonts w:ascii="Tunga" w:hAnsi="Tunga" w:cs="Tunga"/>
          <w:sz w:val="40"/>
          <w:szCs w:val="40"/>
        </w:rPr>
        <w:t>,</w:t>
      </w:r>
      <w:r w:rsidRPr="00EF33D8">
        <w:rPr>
          <w:rFonts w:ascii="Tunga" w:hAnsi="Tunga" w:cs="Tunga"/>
          <w:sz w:val="40"/>
          <w:szCs w:val="40"/>
        </w:rPr>
        <w:t xml:space="preserve"> doppio allarme</w:t>
      </w: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Guglielmo Loy – Segretario Confederale UIL</w:t>
      </w:r>
    </w:p>
    <w:p w:rsidR="003E6B01" w:rsidRPr="00E016D3" w:rsidRDefault="003E6B0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</w:p>
    <w:p w:rsidR="00507861" w:rsidRPr="00E016D3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  <w:r w:rsidRPr="00E016D3">
        <w:rPr>
          <w:rFonts w:ascii="Tunga" w:hAnsi="Tunga" w:cs="Tunga"/>
          <w:sz w:val="28"/>
          <w:szCs w:val="28"/>
        </w:rPr>
        <w:t>La mancanza di una vera politica che agisca strutturalmente nel settore abitativo</w:t>
      </w:r>
      <w:r>
        <w:rPr>
          <w:rFonts w:ascii="Tunga" w:hAnsi="Tunga" w:cs="Tunga"/>
          <w:sz w:val="28"/>
          <w:szCs w:val="28"/>
        </w:rPr>
        <w:t>,</w:t>
      </w:r>
      <w:r w:rsidRPr="00E016D3">
        <w:rPr>
          <w:rFonts w:ascii="Tunga" w:hAnsi="Tunga" w:cs="Tunga"/>
          <w:sz w:val="28"/>
          <w:szCs w:val="28"/>
        </w:rPr>
        <w:t xml:space="preserve"> ha comportato i dati drammatici sugli sfratti pubblicati dal Ministero degli Interni.</w:t>
      </w: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  <w:r w:rsidRPr="00E016D3">
        <w:rPr>
          <w:rFonts w:ascii="Tunga" w:hAnsi="Tunga" w:cs="Tunga"/>
          <w:sz w:val="28"/>
          <w:szCs w:val="28"/>
        </w:rPr>
        <w:t xml:space="preserve">Sono stati emessi </w:t>
      </w:r>
      <w:r w:rsidRPr="00E016D3">
        <w:rPr>
          <w:rFonts w:ascii="Tunga" w:hAnsi="Tunga" w:cs="Tunga"/>
          <w:b/>
          <w:sz w:val="28"/>
          <w:szCs w:val="28"/>
        </w:rPr>
        <w:t>77.278</w:t>
      </w:r>
      <w:r w:rsidRPr="00E016D3">
        <w:rPr>
          <w:rFonts w:ascii="Tunga" w:hAnsi="Tunga" w:cs="Tunga"/>
          <w:sz w:val="28"/>
          <w:szCs w:val="28"/>
        </w:rPr>
        <w:t xml:space="preserve"> </w:t>
      </w:r>
      <w:r w:rsidRPr="00E016D3">
        <w:rPr>
          <w:rFonts w:ascii="Tunga" w:hAnsi="Tunga" w:cs="Tunga"/>
          <w:b/>
          <w:sz w:val="28"/>
          <w:szCs w:val="28"/>
        </w:rPr>
        <w:t>provvedimenti di sfratto</w:t>
      </w:r>
      <w:r w:rsidR="003E6B01">
        <w:rPr>
          <w:rFonts w:ascii="Tunga" w:hAnsi="Tunga" w:cs="Tunga"/>
          <w:sz w:val="28"/>
          <w:szCs w:val="28"/>
        </w:rPr>
        <w:t xml:space="preserve"> nel 2014 (</w:t>
      </w:r>
      <w:r w:rsidRPr="00E016D3">
        <w:rPr>
          <w:rFonts w:ascii="Tunga" w:hAnsi="Tunga" w:cs="Tunga"/>
          <w:sz w:val="28"/>
          <w:szCs w:val="28"/>
        </w:rPr>
        <w:t xml:space="preserve">un incremento del 5% rispetto all’anno 2013) di cui </w:t>
      </w:r>
      <w:r w:rsidRPr="00E016D3">
        <w:rPr>
          <w:rFonts w:ascii="Tunga" w:hAnsi="Tunga" w:cs="Tunga"/>
          <w:b/>
          <w:sz w:val="28"/>
          <w:szCs w:val="28"/>
        </w:rPr>
        <w:t>69.015 per morosità</w:t>
      </w:r>
      <w:r w:rsidR="003E6B01">
        <w:rPr>
          <w:rFonts w:ascii="Tunga" w:hAnsi="Tunga" w:cs="Tunga"/>
          <w:sz w:val="28"/>
          <w:szCs w:val="28"/>
        </w:rPr>
        <w:t xml:space="preserve">. Si rileva, inoltre, </w:t>
      </w:r>
      <w:r w:rsidRPr="00E016D3">
        <w:rPr>
          <w:rFonts w:ascii="Tunga" w:hAnsi="Tunga" w:cs="Tunga"/>
          <w:sz w:val="28"/>
          <w:szCs w:val="28"/>
        </w:rPr>
        <w:t xml:space="preserve">una richiesta di </w:t>
      </w:r>
      <w:r w:rsidRPr="00E016D3">
        <w:rPr>
          <w:rFonts w:ascii="Tunga" w:hAnsi="Tunga" w:cs="Tunga"/>
          <w:b/>
          <w:sz w:val="28"/>
          <w:szCs w:val="28"/>
        </w:rPr>
        <w:t>150.076  esecuzione presentate all’Ufficio Giudiziario</w:t>
      </w:r>
      <w:r>
        <w:rPr>
          <w:rFonts w:ascii="Tunga" w:hAnsi="Tunga" w:cs="Tunga"/>
          <w:b/>
          <w:sz w:val="28"/>
          <w:szCs w:val="28"/>
        </w:rPr>
        <w:t xml:space="preserve">. </w:t>
      </w:r>
      <w:r w:rsidRPr="002E4E9D">
        <w:rPr>
          <w:rFonts w:ascii="Tunga" w:hAnsi="Tunga" w:cs="Tunga"/>
          <w:sz w:val="28"/>
          <w:szCs w:val="28"/>
        </w:rPr>
        <w:t xml:space="preserve">La </w:t>
      </w:r>
      <w:r w:rsidRPr="00952B71">
        <w:rPr>
          <w:rFonts w:ascii="Tunga" w:hAnsi="Tunga" w:cs="Tunga"/>
          <w:b/>
          <w:sz w:val="28"/>
          <w:szCs w:val="28"/>
        </w:rPr>
        <w:t>Lombardia</w:t>
      </w:r>
      <w:r>
        <w:rPr>
          <w:rFonts w:ascii="Tunga" w:hAnsi="Tunga" w:cs="Tunga"/>
          <w:b/>
          <w:sz w:val="28"/>
          <w:szCs w:val="28"/>
        </w:rPr>
        <w:t xml:space="preserve"> </w:t>
      </w:r>
      <w:r w:rsidRPr="002E4E9D">
        <w:rPr>
          <w:rFonts w:ascii="Tunga" w:hAnsi="Tunga" w:cs="Tunga"/>
          <w:sz w:val="28"/>
          <w:szCs w:val="28"/>
        </w:rPr>
        <w:t>risulta</w:t>
      </w:r>
      <w:r>
        <w:rPr>
          <w:rFonts w:ascii="Tunga" w:hAnsi="Tunga" w:cs="Tunga"/>
          <w:sz w:val="28"/>
          <w:szCs w:val="28"/>
        </w:rPr>
        <w:t xml:space="preserve"> essere </w:t>
      </w:r>
      <w:r w:rsidRPr="002E4E9D">
        <w:rPr>
          <w:rFonts w:ascii="Tunga" w:hAnsi="Tunga" w:cs="Tunga"/>
          <w:sz w:val="28"/>
          <w:szCs w:val="28"/>
        </w:rPr>
        <w:t xml:space="preserve"> la regione con il maggior numero di </w:t>
      </w:r>
      <w:r w:rsidRPr="00952B71">
        <w:rPr>
          <w:rFonts w:ascii="Tunga" w:hAnsi="Tunga" w:cs="Tunga"/>
          <w:b/>
          <w:sz w:val="28"/>
          <w:szCs w:val="28"/>
        </w:rPr>
        <w:t>sfratti emessi con 14.533</w:t>
      </w:r>
      <w:r w:rsidRPr="002E4E9D">
        <w:rPr>
          <w:rFonts w:ascii="Tunga" w:hAnsi="Tunga" w:cs="Tunga"/>
          <w:sz w:val="28"/>
          <w:szCs w:val="28"/>
        </w:rPr>
        <w:t xml:space="preserve"> provvedimenti</w:t>
      </w:r>
      <w:r w:rsidR="003E6B01">
        <w:rPr>
          <w:rFonts w:ascii="Tunga" w:hAnsi="Tunga" w:cs="Tunga"/>
          <w:sz w:val="28"/>
          <w:szCs w:val="28"/>
        </w:rPr>
        <w:t xml:space="preserve"> (</w:t>
      </w:r>
      <w:r w:rsidRPr="00952B71">
        <w:rPr>
          <w:rFonts w:ascii="Tunga" w:hAnsi="Tunga" w:cs="Tunga"/>
          <w:b/>
          <w:sz w:val="28"/>
          <w:szCs w:val="28"/>
        </w:rPr>
        <w:t>18% del totale nazionale</w:t>
      </w:r>
      <w:r>
        <w:rPr>
          <w:rFonts w:ascii="Tunga" w:hAnsi="Tunga" w:cs="Tunga"/>
          <w:sz w:val="28"/>
          <w:szCs w:val="28"/>
        </w:rPr>
        <w:t xml:space="preserve">),  seguita dal  </w:t>
      </w:r>
      <w:r w:rsidRPr="00952B71">
        <w:rPr>
          <w:rFonts w:ascii="Tunga" w:hAnsi="Tunga" w:cs="Tunga"/>
          <w:b/>
          <w:sz w:val="28"/>
          <w:szCs w:val="28"/>
        </w:rPr>
        <w:t>Lazio</w:t>
      </w:r>
      <w:r>
        <w:rPr>
          <w:rFonts w:ascii="Tunga" w:hAnsi="Tunga" w:cs="Tunga"/>
          <w:sz w:val="28"/>
          <w:szCs w:val="28"/>
        </w:rPr>
        <w:t xml:space="preserve">  con </w:t>
      </w:r>
      <w:r w:rsidR="003E6B01">
        <w:rPr>
          <w:rFonts w:ascii="Tunga" w:hAnsi="Tunga" w:cs="Tunga"/>
          <w:b/>
          <w:sz w:val="28"/>
          <w:szCs w:val="28"/>
        </w:rPr>
        <w:t>9.648 (</w:t>
      </w:r>
      <w:r w:rsidRPr="00952B71">
        <w:rPr>
          <w:rFonts w:ascii="Tunga" w:hAnsi="Tunga" w:cs="Tunga"/>
          <w:b/>
          <w:sz w:val="28"/>
          <w:szCs w:val="28"/>
        </w:rPr>
        <w:t>12,5%)</w:t>
      </w:r>
      <w:r>
        <w:rPr>
          <w:rFonts w:ascii="Tunga" w:hAnsi="Tunga" w:cs="Tunga"/>
          <w:sz w:val="28"/>
          <w:szCs w:val="28"/>
        </w:rPr>
        <w:t xml:space="preserve">, il </w:t>
      </w:r>
      <w:r w:rsidRPr="00952B71">
        <w:rPr>
          <w:rFonts w:ascii="Tunga" w:hAnsi="Tunga" w:cs="Tunga"/>
          <w:b/>
          <w:sz w:val="28"/>
          <w:szCs w:val="28"/>
        </w:rPr>
        <w:t>Piemonte</w:t>
      </w:r>
      <w:r>
        <w:rPr>
          <w:rFonts w:ascii="Tunga" w:hAnsi="Tunga" w:cs="Tunga"/>
          <w:sz w:val="28"/>
          <w:szCs w:val="28"/>
        </w:rPr>
        <w:t xml:space="preserve"> con </w:t>
      </w:r>
      <w:r w:rsidRPr="00952B71">
        <w:rPr>
          <w:rFonts w:ascii="Tunga" w:hAnsi="Tunga" w:cs="Tunga"/>
          <w:b/>
          <w:sz w:val="28"/>
          <w:szCs w:val="28"/>
        </w:rPr>
        <w:t>8.256 (10,7%)</w:t>
      </w:r>
      <w:r>
        <w:rPr>
          <w:rFonts w:ascii="Tunga" w:hAnsi="Tunga" w:cs="Tunga"/>
          <w:sz w:val="28"/>
          <w:szCs w:val="28"/>
        </w:rPr>
        <w:t xml:space="preserve">, </w:t>
      </w:r>
      <w:r w:rsidRPr="00952B71">
        <w:rPr>
          <w:rFonts w:ascii="Tunga" w:hAnsi="Tunga" w:cs="Tunga"/>
          <w:b/>
          <w:sz w:val="28"/>
          <w:szCs w:val="28"/>
        </w:rPr>
        <w:t>l’Emilia Romagna</w:t>
      </w:r>
      <w:r>
        <w:rPr>
          <w:rFonts w:ascii="Tunga" w:hAnsi="Tunga" w:cs="Tunga"/>
          <w:sz w:val="28"/>
          <w:szCs w:val="28"/>
        </w:rPr>
        <w:t xml:space="preserve"> con </w:t>
      </w:r>
      <w:r w:rsidRPr="00952B71">
        <w:rPr>
          <w:rFonts w:ascii="Tunga" w:hAnsi="Tunga" w:cs="Tunga"/>
          <w:b/>
          <w:sz w:val="28"/>
          <w:szCs w:val="28"/>
        </w:rPr>
        <w:t>6,800 (8,8%)</w:t>
      </w:r>
      <w:r>
        <w:rPr>
          <w:rFonts w:ascii="Tunga" w:hAnsi="Tunga" w:cs="Tunga"/>
          <w:sz w:val="28"/>
          <w:szCs w:val="28"/>
        </w:rPr>
        <w:t>.</w:t>
      </w: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b/>
          <w:sz w:val="28"/>
          <w:szCs w:val="28"/>
        </w:rPr>
      </w:pPr>
      <w:r w:rsidRPr="002E4E9D">
        <w:rPr>
          <w:rFonts w:ascii="Tunga" w:hAnsi="Tunga" w:cs="Tunga"/>
          <w:sz w:val="28"/>
          <w:szCs w:val="28"/>
        </w:rPr>
        <w:t>Da</w:t>
      </w:r>
      <w:r>
        <w:rPr>
          <w:rFonts w:ascii="Tunga" w:hAnsi="Tunga" w:cs="Tunga"/>
          <w:sz w:val="28"/>
          <w:szCs w:val="28"/>
        </w:rPr>
        <w:t xml:space="preserve">lla studio emerge che la </w:t>
      </w:r>
      <w:r w:rsidRPr="00952B71">
        <w:rPr>
          <w:rFonts w:ascii="Tunga" w:hAnsi="Tunga" w:cs="Tunga"/>
          <w:b/>
          <w:sz w:val="28"/>
          <w:szCs w:val="28"/>
        </w:rPr>
        <w:t>maggiore variazione</w:t>
      </w:r>
      <w:r>
        <w:rPr>
          <w:rFonts w:ascii="Tunga" w:hAnsi="Tunga" w:cs="Tunga"/>
          <w:sz w:val="28"/>
          <w:szCs w:val="28"/>
        </w:rPr>
        <w:t xml:space="preserve"> rispetto al periodo precedente di sfratti emessi lo hanno avuto le regioni: </w:t>
      </w:r>
      <w:r>
        <w:rPr>
          <w:rFonts w:ascii="Tunga" w:hAnsi="Tunga" w:cs="Tunga"/>
          <w:b/>
          <w:sz w:val="28"/>
          <w:szCs w:val="28"/>
        </w:rPr>
        <w:t>Molise (+98,75%),</w:t>
      </w:r>
      <w:r>
        <w:rPr>
          <w:rFonts w:ascii="Tunga" w:hAnsi="Tunga" w:cs="Tunga"/>
          <w:sz w:val="28"/>
          <w:szCs w:val="28"/>
        </w:rPr>
        <w:t xml:space="preserve"> </w:t>
      </w:r>
      <w:r w:rsidRPr="00952B71">
        <w:rPr>
          <w:rFonts w:ascii="Tunga" w:hAnsi="Tunga" w:cs="Tunga"/>
          <w:b/>
          <w:sz w:val="28"/>
          <w:szCs w:val="28"/>
        </w:rPr>
        <w:t>Emilia Romagna (</w:t>
      </w:r>
      <w:r>
        <w:rPr>
          <w:rFonts w:ascii="Tunga" w:hAnsi="Tunga" w:cs="Tunga"/>
          <w:b/>
          <w:sz w:val="28"/>
          <w:szCs w:val="28"/>
        </w:rPr>
        <w:t>+</w:t>
      </w:r>
      <w:r w:rsidRPr="00952B71">
        <w:rPr>
          <w:rFonts w:ascii="Tunga" w:hAnsi="Tunga" w:cs="Tunga"/>
          <w:b/>
          <w:sz w:val="28"/>
          <w:szCs w:val="28"/>
        </w:rPr>
        <w:t>38,11%), Trentino Alto Adige (</w:t>
      </w:r>
      <w:r>
        <w:rPr>
          <w:rFonts w:ascii="Tunga" w:hAnsi="Tunga" w:cs="Tunga"/>
          <w:b/>
          <w:sz w:val="28"/>
          <w:szCs w:val="28"/>
        </w:rPr>
        <w:t>+</w:t>
      </w:r>
      <w:r w:rsidRPr="00952B71">
        <w:rPr>
          <w:rFonts w:ascii="Tunga" w:hAnsi="Tunga" w:cs="Tunga"/>
          <w:b/>
          <w:sz w:val="28"/>
          <w:szCs w:val="28"/>
        </w:rPr>
        <w:t>37,57%).</w:t>
      </w: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Le cause di questa espressione di fortissimo disagio sono, sia il crescente numero di persone in sofferenza economica, dovuto in gran parte dalla mancanza di occupazione più o meno stabile, sia </w:t>
      </w:r>
      <w:r w:rsidRPr="00E016D3">
        <w:rPr>
          <w:rFonts w:ascii="Tunga" w:hAnsi="Tunga" w:cs="Tunga"/>
          <w:sz w:val="28"/>
          <w:szCs w:val="28"/>
        </w:rPr>
        <w:t xml:space="preserve"> </w:t>
      </w:r>
      <w:r>
        <w:rPr>
          <w:rFonts w:ascii="Tunga" w:hAnsi="Tunga" w:cs="Tunga"/>
          <w:sz w:val="28"/>
          <w:szCs w:val="28"/>
        </w:rPr>
        <w:t xml:space="preserve"> la ridotta offerta di abitazioni a costi compatibili con ciò che sono in grado di spendere moltissime famiglie.</w:t>
      </w: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E’ desolante che la Politica e chi ha una responsabilità di Governo, non aggredisca questo tema con forza, coniugandolo con l’altra grande emergenza che </w:t>
      </w:r>
      <w:r w:rsidR="003E6B01">
        <w:rPr>
          <w:rFonts w:ascii="Tunga" w:hAnsi="Tunga" w:cs="Tunga"/>
          <w:sz w:val="28"/>
          <w:szCs w:val="28"/>
        </w:rPr>
        <w:t>sta colpendo la nostra economia</w:t>
      </w:r>
      <w:r>
        <w:rPr>
          <w:rFonts w:ascii="Tunga" w:hAnsi="Tunga" w:cs="Tunga"/>
          <w:sz w:val="28"/>
          <w:szCs w:val="28"/>
        </w:rPr>
        <w:t>: il crollo, in termini di contributo alla crescita del Pil, del comparto delle costruzioni. Un grande, rapido, efficace piano di recupero e risanamento urbano, contribuirebbe, significativamente alla, almeno parziale, soluzione sia alla domanda di alloggi che alla ripresa di un settore decisivo della nostra economia.</w:t>
      </w: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</w:p>
    <w:p w:rsidR="00507861" w:rsidRDefault="00507861" w:rsidP="00E016D3">
      <w:pPr>
        <w:pStyle w:val="Textbody"/>
        <w:spacing w:after="57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Roma, 8 luglio 2015</w:t>
      </w:r>
    </w:p>
    <w:p w:rsidR="00507861" w:rsidRDefault="00507861" w:rsidP="00E016D3">
      <w:pPr>
        <w:spacing w:after="113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page" w:horzAnchor="margin" w:tblpXSpec="center" w:tblpY="3691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094"/>
        <w:gridCol w:w="1168"/>
        <w:gridCol w:w="1274"/>
        <w:gridCol w:w="1562"/>
        <w:gridCol w:w="1417"/>
        <w:gridCol w:w="2124"/>
      </w:tblGrid>
      <w:tr w:rsidR="003E6B01" w:rsidRPr="00A0729B" w:rsidTr="003E6B01">
        <w:tc>
          <w:tcPr>
            <w:tcW w:w="1086" w:type="pct"/>
            <w:tcBorders>
              <w:bottom w:val="single" w:sz="4" w:space="0" w:color="auto"/>
            </w:tcBorders>
            <w:shd w:val="clear" w:color="auto" w:fill="FFFF00"/>
          </w:tcPr>
          <w:p w:rsidR="003E6B01" w:rsidRPr="008A5F0D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</w:pPr>
          </w:p>
          <w:p w:rsidR="003E6B01" w:rsidRPr="008A5F0D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</w:pPr>
          </w:p>
          <w:p w:rsidR="003E6B01" w:rsidRPr="008A5F0D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</w:pPr>
            <w:r w:rsidRPr="008A5F0D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REGIONI</w:t>
            </w:r>
          </w:p>
          <w:p w:rsidR="003E6B01" w:rsidRPr="008A5F0D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</w:pPr>
          </w:p>
          <w:p w:rsidR="003E6B01" w:rsidRPr="008A5F0D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FFFF00"/>
          </w:tcPr>
          <w:p w:rsidR="003E6B01" w:rsidRPr="008A5F0D" w:rsidRDefault="003E6B01" w:rsidP="003E6B01">
            <w:pPr>
              <w:spacing w:after="0" w:line="240" w:lineRule="auto"/>
              <w:ind w:right="-14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  <w:p w:rsidR="003E6B01" w:rsidRPr="008A5F0D" w:rsidRDefault="003E6B01" w:rsidP="003E6B01">
            <w:pPr>
              <w:spacing w:after="0" w:line="240" w:lineRule="auto"/>
              <w:ind w:right="-14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8A5F0D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Totale s</w:t>
            </w:r>
            <w:r w:rsidRPr="008A5F0D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fratti emessi</w:t>
            </w:r>
          </w:p>
          <w:p w:rsidR="008A5F0D" w:rsidRPr="008A5F0D" w:rsidRDefault="008A5F0D" w:rsidP="003E6B01">
            <w:pPr>
              <w:spacing w:after="0" w:line="240" w:lineRule="auto"/>
              <w:ind w:right="-14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8A5F0D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ANNO 2014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FFF00"/>
          </w:tcPr>
          <w:p w:rsidR="003E6B01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  <w:p w:rsidR="003E6B01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Causa mor</w:t>
            </w:r>
            <w:r w:rsidRPr="00E016D3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00"/>
                <w:lang w:eastAsia="it-IT"/>
              </w:rPr>
              <w:t>o</w:t>
            </w:r>
            <w:r w:rsidRPr="00E016D3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sità</w:t>
            </w:r>
          </w:p>
          <w:p w:rsidR="008A5F0D" w:rsidRPr="00E016D3" w:rsidRDefault="008A5F0D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ANNO 2014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FFFF00"/>
          </w:tcPr>
          <w:p w:rsidR="003E6B01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  <w:p w:rsidR="003E6B01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Richieste di esecuzione</w:t>
            </w:r>
          </w:p>
          <w:p w:rsidR="008A5F0D" w:rsidRPr="00E016D3" w:rsidRDefault="008A5F0D" w:rsidP="003E6B0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ANNO 2014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FFF00"/>
          </w:tcPr>
          <w:p w:rsidR="003E6B01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  <w:p w:rsidR="003E6B01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Sfratti eseguiti</w:t>
            </w:r>
          </w:p>
          <w:p w:rsidR="008A5F0D" w:rsidRPr="00E016D3" w:rsidRDefault="008A5F0D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ANNO 2014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00"/>
          </w:tcPr>
          <w:p w:rsidR="003E6B01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  <w:p w:rsidR="003E6B01" w:rsidRPr="00E016D3" w:rsidRDefault="003E6B01" w:rsidP="003E6B0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Variazione % rispetto periodo precede</w:t>
            </w:r>
            <w:bookmarkStart w:id="0" w:name="_GoBack"/>
            <w:bookmarkEnd w:id="0"/>
            <w:r w:rsidRPr="00E016D3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nte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 xml:space="preserve">Lombardia 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14.533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9.788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51.891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6.640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10,24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sz w:val="18"/>
                <w:szCs w:val="18"/>
                <w:lang w:eastAsia="it-IT"/>
              </w:rPr>
              <w:t xml:space="preserve">  </w:t>
            </w: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9.648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  8.338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13.251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3.503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0,29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8.256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  7.996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  7.814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2.345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12,52</w:t>
            </w:r>
          </w:p>
        </w:tc>
      </w:tr>
      <w:tr w:rsidR="003E6B01" w:rsidRPr="00A0729B" w:rsidTr="008A5F0D">
        <w:trPr>
          <w:trHeight w:val="264"/>
        </w:trPr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6.800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 6.568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20.750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5.472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38,11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6.131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5.395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4.463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1.437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-0,35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6.117   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5.847   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 12.222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3.323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15,50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5.855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4.882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8.160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2.631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12,05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4.937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4.767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6.868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2.682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24,57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3.237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1.612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8.120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1.930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-4,83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3.232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2.222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5.824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1.861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21,40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1.794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1.700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2.074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728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- 4,46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1.483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819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644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290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- 1,02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Friuli V. G.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1.295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1.168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2.219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844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11,79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1.198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1.094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2.269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1.021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23,61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1.158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1.133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487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477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-5,73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ind w:right="-114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 xml:space="preserve">Sardegna 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663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636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650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370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19,35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Trentino A.A.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513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451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516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238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37,57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199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523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4,84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160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851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98,75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480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-30,21</w:t>
            </w:r>
          </w:p>
        </w:tc>
      </w:tr>
      <w:tr w:rsidR="003E6B01" w:rsidRPr="00A0729B" w:rsidTr="008A5F0D">
        <w:tc>
          <w:tcPr>
            <w:tcW w:w="108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lang w:eastAsia="it-IT"/>
              </w:rPr>
            </w:pPr>
            <w:r w:rsidRPr="00E016D3">
              <w:rPr>
                <w:rFonts w:ascii="Verdana" w:hAnsi="Verdana" w:cs="Tahoma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06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77.278</w:t>
            </w:r>
          </w:p>
        </w:tc>
        <w:tc>
          <w:tcPr>
            <w:tcW w:w="661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69.015</w:t>
            </w:r>
          </w:p>
        </w:tc>
        <w:tc>
          <w:tcPr>
            <w:tcW w:w="810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150.076</w:t>
            </w:r>
          </w:p>
        </w:tc>
        <w:tc>
          <w:tcPr>
            <w:tcW w:w="735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36.083</w:t>
            </w:r>
          </w:p>
        </w:tc>
        <w:tc>
          <w:tcPr>
            <w:tcW w:w="1102" w:type="pct"/>
            <w:shd w:val="clear" w:color="auto" w:fill="FFFFFF"/>
          </w:tcPr>
          <w:p w:rsidR="003E6B01" w:rsidRPr="00E016D3" w:rsidRDefault="003E6B01" w:rsidP="003E6B01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E016D3">
              <w:rPr>
                <w:rFonts w:ascii="Verdana" w:hAnsi="Verdana"/>
                <w:b/>
                <w:sz w:val="18"/>
                <w:szCs w:val="18"/>
                <w:lang w:eastAsia="it-IT"/>
              </w:rPr>
              <w:t>13,45</w:t>
            </w:r>
          </w:p>
        </w:tc>
      </w:tr>
    </w:tbl>
    <w:p w:rsidR="00507861" w:rsidRDefault="00507861">
      <w:pPr>
        <w:jc w:val="both"/>
        <w:rPr>
          <w:rFonts w:ascii="Tunga" w:hAnsi="Tunga" w:cs="Tunga"/>
          <w:sz w:val="28"/>
          <w:szCs w:val="28"/>
        </w:rPr>
      </w:pPr>
      <w:r w:rsidRPr="00E016D3">
        <w:rPr>
          <w:rFonts w:ascii="Tunga" w:hAnsi="Tunga" w:cs="Tunga"/>
          <w:sz w:val="28"/>
          <w:szCs w:val="28"/>
        </w:rPr>
        <w:t>Nell</w:t>
      </w:r>
      <w:r>
        <w:rPr>
          <w:rFonts w:ascii="Tunga" w:hAnsi="Tunga" w:cs="Tunga"/>
          <w:sz w:val="28"/>
          <w:szCs w:val="28"/>
        </w:rPr>
        <w:t>a tabella sottostante, abbiamo riportato le regioni in ordine del maggior numero di sfratti emessi:</w:t>
      </w:r>
    </w:p>
    <w:p w:rsidR="003E6B01" w:rsidRPr="003E6B01" w:rsidRDefault="003E6B01">
      <w:pPr>
        <w:jc w:val="both"/>
        <w:rPr>
          <w:rFonts w:ascii="Tunga" w:hAnsi="Tunga" w:cs="Tunga"/>
          <w:b/>
          <w:i/>
          <w:sz w:val="24"/>
          <w:szCs w:val="24"/>
        </w:rPr>
      </w:pPr>
      <w:r w:rsidRPr="003E6B01">
        <w:rPr>
          <w:rFonts w:ascii="Tunga" w:hAnsi="Tunga" w:cs="Tunga"/>
          <w:b/>
          <w:i/>
          <w:sz w:val="24"/>
          <w:szCs w:val="24"/>
        </w:rPr>
        <w:t>Elaborazione UIL su fonte dati Ministero degli Interni</w:t>
      </w:r>
    </w:p>
    <w:sectPr w:rsidR="003E6B01" w:rsidRPr="003E6B01" w:rsidSect="00364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74D"/>
    <w:rsid w:val="000341E7"/>
    <w:rsid w:val="0006448C"/>
    <w:rsid w:val="00122FE5"/>
    <w:rsid w:val="00150E00"/>
    <w:rsid w:val="00242FD1"/>
    <w:rsid w:val="002807D1"/>
    <w:rsid w:val="002C7F68"/>
    <w:rsid w:val="002E4E9D"/>
    <w:rsid w:val="0036428C"/>
    <w:rsid w:val="003E6B01"/>
    <w:rsid w:val="00507861"/>
    <w:rsid w:val="0072782B"/>
    <w:rsid w:val="007A0BFF"/>
    <w:rsid w:val="007F3BE0"/>
    <w:rsid w:val="008A5F0D"/>
    <w:rsid w:val="00917AB6"/>
    <w:rsid w:val="00952B71"/>
    <w:rsid w:val="0095794C"/>
    <w:rsid w:val="00A0729B"/>
    <w:rsid w:val="00B4474D"/>
    <w:rsid w:val="00C11C99"/>
    <w:rsid w:val="00D26CE2"/>
    <w:rsid w:val="00E016D3"/>
    <w:rsid w:val="00E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28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uiPriority w:val="99"/>
    <w:rsid w:val="00122FE5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 dati sugli sfratti, doppio allarme</dc:title>
  <dc:subject/>
  <dc:creator>Laura Forin</dc:creator>
  <cp:keywords/>
  <dc:description/>
  <cp:lastModifiedBy>Antonella Pirastu</cp:lastModifiedBy>
  <cp:revision>5</cp:revision>
  <cp:lastPrinted>2015-07-02T14:05:00Z</cp:lastPrinted>
  <dcterms:created xsi:type="dcterms:W3CDTF">2015-07-10T06:47:00Z</dcterms:created>
  <dcterms:modified xsi:type="dcterms:W3CDTF">2015-07-10T07:45:00Z</dcterms:modified>
</cp:coreProperties>
</file>