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A" w:rsidRPr="005D6416" w:rsidRDefault="003A3CF1" w:rsidP="005D6416">
      <w:pPr>
        <w:jc w:val="center"/>
        <w:rPr>
          <w:rFonts w:cs="Calibri"/>
          <w:color w:val="000000"/>
          <w:sz w:val="28"/>
          <w:u w:color="000000"/>
          <w:lang w:eastAsia="it-IT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8"/>
          <w:u w:color="000000"/>
          <w:lang w:eastAsia="it-IT"/>
        </w:rPr>
        <w:t xml:space="preserve">SINTESI DEL </w:t>
      </w:r>
      <w:r w:rsidR="00986E7A" w:rsidRPr="005D6416">
        <w:rPr>
          <w:rFonts w:cs="Calibri"/>
          <w:b/>
          <w:bCs/>
          <w:color w:val="000000"/>
          <w:sz w:val="28"/>
          <w:u w:color="000000"/>
          <w:lang w:eastAsia="it-IT"/>
        </w:rPr>
        <w:t xml:space="preserve">V RAPPORTO </w:t>
      </w:r>
      <w:r w:rsidR="00986E7A" w:rsidRPr="003A3CF1">
        <w:rPr>
          <w:rFonts w:cs="Calibri"/>
          <w:b/>
          <w:bCs/>
          <w:sz w:val="28"/>
          <w:szCs w:val="32"/>
          <w:u w:color="000000"/>
          <w:lang w:eastAsia="it-IT"/>
        </w:rPr>
        <w:t>UIL</w:t>
      </w:r>
      <w:r w:rsidR="00986E7A" w:rsidRPr="005D6416">
        <w:rPr>
          <w:rFonts w:cs="Calibri"/>
          <w:b/>
          <w:bCs/>
          <w:color w:val="000000"/>
          <w:sz w:val="28"/>
          <w:u w:color="000000"/>
          <w:lang w:eastAsia="it-IT"/>
        </w:rPr>
        <w:t xml:space="preserve"> SUGLI AMMORTIZZATORI SOCIALI </w:t>
      </w:r>
    </w:p>
    <w:p w:rsidR="00986E7A" w:rsidRPr="003A3CF1" w:rsidRDefault="00986E7A" w:rsidP="005D6416">
      <w:pPr>
        <w:jc w:val="center"/>
        <w:rPr>
          <w:rFonts w:cs="Calibri"/>
          <w:b/>
          <w:bCs/>
          <w:color w:val="000000"/>
          <w:sz w:val="24"/>
          <w:u w:color="000000"/>
          <w:lang w:eastAsia="it-IT"/>
        </w:rPr>
      </w:pPr>
      <w:r w:rsidRPr="003A3CF1">
        <w:rPr>
          <w:rFonts w:cs="Calibri"/>
          <w:b/>
          <w:bCs/>
          <w:color w:val="000000"/>
          <w:sz w:val="24"/>
          <w:u w:color="000000"/>
          <w:lang w:eastAsia="it-IT"/>
        </w:rPr>
        <w:t>OTTOBRE 2016</w:t>
      </w:r>
    </w:p>
    <w:p w:rsidR="00986E7A" w:rsidRPr="005D6416" w:rsidRDefault="00986E7A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Pr="005D6416" w:rsidRDefault="00986E7A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NEL 2016 QUASI 1 LAVORATORE SU 5 AIUTATO DA ALMENO UN AMMORTIZZATORE SOCIALE  </w:t>
      </w:r>
    </w:p>
    <w:p w:rsidR="00986E7A" w:rsidRPr="005D6416" w:rsidRDefault="00986E7A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Pr="005D6416" w:rsidRDefault="003A3CF1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LE PERSONE PROTETTE DAGLI AMMORTIZZATORI SOCIALI 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SONO POCO MENO DI 2,5 MILIONI </w:t>
      </w:r>
    </w:p>
    <w:p w:rsidR="00986E7A" w:rsidRPr="005D6416" w:rsidRDefault="00986E7A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Pr="005D6416" w:rsidRDefault="00986E7A" w:rsidP="005D6416">
      <w:pPr>
        <w:ind w:left="142"/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NEL 2015 SPESI 19 MILIARDI DI EURO, TRA CASSA INTEGRAZIONE, AMMORTIZZATORI IN DEROGA, MOBILITA’, ASPI, NASPI E DISCOLL</w:t>
      </w:r>
    </w:p>
    <w:p w:rsidR="00986E7A" w:rsidRPr="005D6416" w:rsidRDefault="00986E7A" w:rsidP="005D6416">
      <w:pPr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Pr="005D6416" w:rsidRDefault="00986E7A" w:rsidP="005D6416">
      <w:pPr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CALA LA SPESA RISPETTO AL 2014:</w:t>
      </w:r>
      <w:r>
        <w:rPr>
          <w:rFonts w:cs="Calibri"/>
          <w:b/>
          <w:bCs/>
          <w:color w:val="000000"/>
          <w:u w:color="000000"/>
          <w:lang w:eastAsia="it-IT"/>
        </w:rPr>
        <w:t xml:space="preserve"> -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  3,3 MLD. (-14,7%)</w:t>
      </w:r>
    </w:p>
    <w:p w:rsidR="00986E7A" w:rsidRPr="005D6416" w:rsidRDefault="00986E7A" w:rsidP="004F60B5">
      <w:pPr>
        <w:jc w:val="center"/>
        <w:rPr>
          <w:rFonts w:cs="Calibri"/>
          <w:color w:val="000000"/>
          <w:u w:color="000000"/>
          <w:lang w:eastAsia="it-IT"/>
        </w:rPr>
      </w:pPr>
    </w:p>
    <w:p w:rsidR="00986E7A" w:rsidRPr="005D6416" w:rsidRDefault="00986E7A" w:rsidP="005D6416">
      <w:pPr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IN LOMBARDIA IL PIÙ ALTO NUMERO DI PERSONE PROTETTE</w:t>
      </w:r>
    </w:p>
    <w:p w:rsidR="00986E7A" w:rsidRPr="005D6416" w:rsidRDefault="00986E7A" w:rsidP="005D6416">
      <w:pPr>
        <w:jc w:val="center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Pr="005D6416" w:rsidRDefault="004F60B5" w:rsidP="005D6416">
      <w:pPr>
        <w:jc w:val="center"/>
        <w:rPr>
          <w:rFonts w:cs="Calibri"/>
          <w:b/>
          <w:bCs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IN MOLISE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, BASILICATA E CALABRIA L’INCIDENZA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PIÙ ALTA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 DI BENEFICIARI RISPETTO ALLA PLATEA DI LAVORATORI </w:t>
      </w:r>
    </w:p>
    <w:p w:rsidR="00986E7A" w:rsidRPr="005D6416" w:rsidRDefault="00986E7A" w:rsidP="005D6416">
      <w:pPr>
        <w:jc w:val="center"/>
        <w:rPr>
          <w:rFonts w:cs="Calibri"/>
          <w:color w:val="000000"/>
          <w:u w:color="000000"/>
          <w:lang w:eastAsia="it-IT"/>
        </w:rPr>
      </w:pP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Quasi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 lavoratore su 5</w:t>
      </w:r>
      <w:r w:rsidRPr="005D6416">
        <w:rPr>
          <w:rFonts w:cs="Calibri"/>
          <w:color w:val="000000"/>
          <w:u w:color="000000"/>
          <w:lang w:eastAsia="it-IT"/>
        </w:rPr>
        <w:t xml:space="preserve"> </w:t>
      </w:r>
      <w:r w:rsidR="003A3CF1">
        <w:rPr>
          <w:rFonts w:cs="Calibri"/>
          <w:color w:val="000000"/>
          <w:u w:color="000000"/>
          <w:lang w:eastAsia="it-IT"/>
        </w:rPr>
        <w:t>del settore privato “beneficia”</w:t>
      </w:r>
      <w:r w:rsidRPr="005D6416">
        <w:rPr>
          <w:rFonts w:cs="Calibri"/>
          <w:color w:val="000000"/>
          <w:u w:color="000000"/>
          <w:lang w:eastAsia="it-IT"/>
        </w:rPr>
        <w:t xml:space="preserve"> o</w:t>
      </w:r>
      <w:r w:rsidR="003A3CF1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meglio</w:t>
      </w:r>
      <w:r w:rsidR="003A3CF1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conosce l’amara esperienza di dover usufruire di un ammortizzatore sociale. </w:t>
      </w:r>
    </w:p>
    <w:p w:rsidR="003A3CF1" w:rsidRDefault="003A3CF1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È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quanto emerge </w:t>
      </w:r>
      <w:r w:rsidR="00986E7A" w:rsidRPr="004F60B5">
        <w:rPr>
          <w:rFonts w:cs="Calibri"/>
          <w:bCs/>
          <w:color w:val="000000"/>
          <w:u w:color="000000"/>
          <w:lang w:eastAsia="it-IT"/>
        </w:rPr>
        <w:t>dal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 V Rapporto del Servizio Politiche Territoriali e del Lavoro della Uil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che ha elaborato i dati dei percettori e della spesa degli ammortizzatori </w:t>
      </w:r>
      <w:r w:rsidRPr="005D6416">
        <w:rPr>
          <w:rFonts w:cs="Calibri"/>
          <w:color w:val="000000"/>
          <w:u w:color="000000"/>
          <w:lang w:eastAsia="it-IT"/>
        </w:rPr>
        <w:t>sociali del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2014 e del 2015, analizzando i Rendiconti e i Rapporti INPS.</w:t>
      </w:r>
      <w:r w:rsidR="00986E7A">
        <w:rPr>
          <w:rFonts w:cs="Calibri"/>
          <w:color w:val="000000"/>
          <w:u w:color="000000"/>
          <w:lang w:eastAsia="it-IT"/>
        </w:rPr>
        <w:t xml:space="preserve"> 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t>Nello stesso Rapporto</w:t>
      </w:r>
      <w:r w:rsidR="003A3CF1">
        <w:rPr>
          <w:rFonts w:cs="Calibri"/>
          <w:color w:val="000000"/>
          <w:u w:color="000000"/>
          <w:lang w:eastAsia="it-IT"/>
        </w:rPr>
        <w:t>,</w:t>
      </w:r>
      <w:r>
        <w:rPr>
          <w:rFonts w:cs="Calibri"/>
          <w:color w:val="000000"/>
          <w:u w:color="000000"/>
          <w:lang w:eastAsia="it-IT"/>
        </w:rPr>
        <w:t xml:space="preserve"> la UIL ha elaborato i primi dati del 2016 per proiettare nell’attualità dell’anno in corso il reale stato del nostro sistema di protezione sociale nel e per il lavoro.</w:t>
      </w:r>
    </w:p>
    <w:p w:rsidR="00986E7A" w:rsidRPr="005D6416" w:rsidRDefault="003A3CF1" w:rsidP="005D6416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t>“</w:t>
      </w:r>
      <w:r w:rsidR="00986E7A" w:rsidRPr="005D6416">
        <w:rPr>
          <w:rFonts w:cs="Calibri"/>
          <w:color w:val="000000"/>
          <w:u w:color="000000"/>
          <w:lang w:eastAsia="it-IT"/>
        </w:rPr>
        <w:t>Con questa analisi</w:t>
      </w:r>
      <w:r>
        <w:rPr>
          <w:rFonts w:cs="Calibri"/>
          <w:color w:val="000000"/>
          <w:u w:color="000000"/>
          <w:lang w:eastAsia="it-IT"/>
        </w:rPr>
        <w:t xml:space="preserve"> - 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</w:t>
      </w:r>
      <w:r>
        <w:rPr>
          <w:rFonts w:cs="Calibri"/>
          <w:color w:val="000000"/>
          <w:u w:color="000000"/>
          <w:lang w:eastAsia="it-IT"/>
        </w:rPr>
        <w:t>ha spiegato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 Guglielmo Loy</w:t>
      </w:r>
      <w:r>
        <w:rPr>
          <w:rFonts w:cs="Calibri"/>
          <w:color w:val="000000"/>
          <w:u w:color="000000"/>
          <w:lang w:eastAsia="it-IT"/>
        </w:rPr>
        <w:t xml:space="preserve">, Segretario confederale Uil - </w:t>
      </w:r>
      <w:r w:rsidR="00986E7A" w:rsidRPr="005D6416">
        <w:rPr>
          <w:rFonts w:cs="Calibri"/>
          <w:color w:val="000000"/>
          <w:u w:color="000000"/>
          <w:lang w:eastAsia="it-IT"/>
        </w:rPr>
        <w:t>vogliamo far emergere, la forte criticità sia del quadro economico, con molte/troppe imprese che manifestano forti segnali di crisi, sia della debolezza dell'impianto normativo degli ammortizzatori sociali.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</w:t>
      </w:r>
    </w:p>
    <w:p w:rsidR="00986E7A" w:rsidRPr="000F0FF8" w:rsidRDefault="00986E7A" w:rsidP="005D6416">
      <w:pPr>
        <w:jc w:val="both"/>
        <w:rPr>
          <w:rFonts w:cs="Calibri"/>
          <w:b/>
          <w:color w:val="000000"/>
          <w:u w:val="single"/>
          <w:lang w:eastAsia="it-IT"/>
        </w:rPr>
      </w:pPr>
      <w:r w:rsidRPr="000F0FF8">
        <w:rPr>
          <w:rFonts w:cs="Calibri"/>
          <w:b/>
          <w:color w:val="000000"/>
          <w:u w:val="single"/>
          <w:lang w:eastAsia="it-IT"/>
        </w:rPr>
        <w:t>COSA SUCCEDE NEL 2016?</w:t>
      </w:r>
    </w:p>
    <w:p w:rsidR="003A7999" w:rsidRDefault="00986E7A" w:rsidP="003A3CF1">
      <w:pPr>
        <w:jc w:val="both"/>
        <w:rPr>
          <w:rFonts w:cs="Calibri"/>
          <w:color w:val="000000"/>
          <w:u w:color="FF0000"/>
          <w:lang w:eastAsia="it-IT"/>
        </w:rPr>
      </w:pPr>
      <w:r w:rsidRPr="005D6416">
        <w:rPr>
          <w:rFonts w:cs="Calibri"/>
          <w:color w:val="000000"/>
          <w:u w:color="FF0000"/>
          <w:lang w:eastAsia="it-IT"/>
        </w:rPr>
        <w:t>Partendo dall’analisi dei dati dei primi 8 mesi di quest’anno</w:t>
      </w:r>
      <w:r w:rsidR="003A3CF1">
        <w:rPr>
          <w:rFonts w:cs="Calibri"/>
          <w:color w:val="000000"/>
          <w:u w:color="FF0000"/>
          <w:lang w:eastAsia="it-IT"/>
        </w:rPr>
        <w:t>,</w:t>
      </w:r>
      <w:r w:rsidRPr="005D6416">
        <w:rPr>
          <w:rFonts w:cs="Calibri"/>
          <w:color w:val="000000"/>
          <w:u w:color="FF0000"/>
          <w:lang w:eastAsia="it-IT"/>
        </w:rPr>
        <w:t xml:space="preserve"> </w:t>
      </w:r>
      <w:r w:rsidR="003A3CF1">
        <w:rPr>
          <w:rFonts w:cs="Calibri"/>
          <w:color w:val="000000"/>
          <w:u w:color="FF0000"/>
          <w:lang w:eastAsia="it-IT"/>
        </w:rPr>
        <w:t>relativi</w:t>
      </w:r>
      <w:r w:rsidRPr="005D6416">
        <w:rPr>
          <w:rFonts w:cs="Calibri"/>
          <w:color w:val="000000"/>
          <w:u w:color="FF0000"/>
          <w:lang w:eastAsia="it-IT"/>
        </w:rPr>
        <w:t xml:space="preserve"> all’utilizzo degli ammortizzatori sociali, la proiezione per</w:t>
      </w:r>
      <w:r>
        <w:rPr>
          <w:rFonts w:cs="Calibri"/>
          <w:color w:val="000000"/>
          <w:u w:color="FF0000"/>
          <w:lang w:eastAsia="it-IT"/>
        </w:rPr>
        <w:t xml:space="preserve"> l’intero anno 2016, secondo </w:t>
      </w:r>
      <w:r w:rsidR="003A3CF1">
        <w:rPr>
          <w:rFonts w:cs="Calibri"/>
          <w:color w:val="000000"/>
          <w:u w:color="FF0000"/>
          <w:lang w:eastAsia="it-IT"/>
        </w:rPr>
        <w:t>la s</w:t>
      </w:r>
      <w:r w:rsidR="003A3CF1" w:rsidRPr="005D6416">
        <w:rPr>
          <w:rFonts w:cs="Calibri"/>
          <w:color w:val="000000"/>
          <w:u w:color="FF0000"/>
          <w:lang w:eastAsia="it-IT"/>
        </w:rPr>
        <w:t>tima</w:t>
      </w:r>
      <w:r>
        <w:rPr>
          <w:rFonts w:cs="Calibri"/>
          <w:color w:val="000000"/>
          <w:u w:color="FF0000"/>
          <w:lang w:eastAsia="it-IT"/>
        </w:rPr>
        <w:t xml:space="preserve"> </w:t>
      </w:r>
      <w:r w:rsidR="003A3CF1">
        <w:rPr>
          <w:rFonts w:cs="Calibri"/>
          <w:color w:val="000000"/>
          <w:u w:color="FF0000"/>
          <w:lang w:eastAsia="it-IT"/>
        </w:rPr>
        <w:t xml:space="preserve">della </w:t>
      </w:r>
      <w:r w:rsidR="003A3CF1" w:rsidRPr="005D6416">
        <w:rPr>
          <w:rFonts w:cs="Calibri"/>
          <w:color w:val="000000"/>
          <w:u w:color="FF0000"/>
          <w:lang w:eastAsia="it-IT"/>
        </w:rPr>
        <w:t>UIL</w:t>
      </w:r>
      <w:r w:rsidRPr="005D6416">
        <w:rPr>
          <w:rFonts w:cs="Calibri"/>
          <w:color w:val="000000"/>
          <w:u w:color="FF0000"/>
          <w:lang w:eastAsia="it-IT"/>
        </w:rPr>
        <w:t>, si traduce in poco meno di 2,5 milioni di persone (in diminuz</w:t>
      </w:r>
      <w:r w:rsidR="003A3CF1">
        <w:rPr>
          <w:rFonts w:cs="Calibri"/>
          <w:color w:val="000000"/>
          <w:u w:color="FF0000"/>
          <w:lang w:eastAsia="it-IT"/>
        </w:rPr>
        <w:t>ione del 5,2% rispetto al 2015)</w:t>
      </w:r>
      <w:r w:rsidRPr="005D6416">
        <w:rPr>
          <w:rFonts w:cs="Calibri"/>
          <w:color w:val="000000"/>
          <w:u w:color="FF0000"/>
          <w:lang w:eastAsia="it-IT"/>
        </w:rPr>
        <w:t xml:space="preserve"> che vivono e vivranno l’esperienza di un ammortizzatore social</w:t>
      </w:r>
      <w:r>
        <w:rPr>
          <w:rFonts w:cs="Calibri"/>
          <w:color w:val="000000"/>
          <w:u w:color="FF0000"/>
          <w:lang w:eastAsia="it-IT"/>
        </w:rPr>
        <w:t>e.</w:t>
      </w:r>
    </w:p>
    <w:p w:rsidR="00AB4713" w:rsidRDefault="00AB4713" w:rsidP="003A3CF1">
      <w:pPr>
        <w:jc w:val="both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</w:p>
    <w:p w:rsidR="00986E7A" w:rsidRPr="005F642D" w:rsidRDefault="00986E7A" w:rsidP="00C331D0">
      <w:pPr>
        <w:jc w:val="center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AMMORTIZZATORI SOCIALI: BENEFICIARI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9"/>
        <w:gridCol w:w="1252"/>
        <w:gridCol w:w="1550"/>
        <w:gridCol w:w="1542"/>
        <w:gridCol w:w="1591"/>
        <w:gridCol w:w="1654"/>
      </w:tblGrid>
      <w:tr w:rsidR="00986E7A" w:rsidRPr="005F642D" w:rsidTr="0091371A">
        <w:trPr>
          <w:trHeight w:val="410"/>
          <w:jc w:val="center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TIPOLOGIA DI SOSTEGNO AL REDDITO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2016*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DIFFERENZA</w:t>
            </w:r>
          </w:p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2014-2015 (%)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DIFFERENZA</w:t>
            </w:r>
          </w:p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2015-2016 (%)</w:t>
            </w:r>
          </w:p>
        </w:tc>
      </w:tr>
      <w:tr w:rsidR="00986E7A" w:rsidRPr="005F642D" w:rsidTr="0091371A">
        <w:trPr>
          <w:trHeight w:val="210"/>
          <w:jc w:val="center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 xml:space="preserve">CASSA INTEGRAZIONE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1.169.701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742.766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638.987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-36,5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-14,0</w:t>
            </w:r>
          </w:p>
        </w:tc>
      </w:tr>
      <w:tr w:rsidR="00986E7A" w:rsidRPr="005F642D" w:rsidTr="0091371A">
        <w:trPr>
          <w:trHeight w:val="210"/>
          <w:jc w:val="center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 xml:space="preserve">MOBILITA’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209.456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193.370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184.589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-7,7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-4,5</w:t>
            </w:r>
          </w:p>
        </w:tc>
      </w:tr>
      <w:tr w:rsidR="00986E7A" w:rsidRPr="005F642D" w:rsidTr="0091371A">
        <w:trPr>
          <w:trHeight w:val="210"/>
          <w:jc w:val="center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DISOCCUPAZIONE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1.616.580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1.656.280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1.634.748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2,5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-1,3</w:t>
            </w:r>
          </w:p>
        </w:tc>
      </w:tr>
      <w:tr w:rsidR="00986E7A" w:rsidRPr="005F642D" w:rsidTr="0091371A">
        <w:trPr>
          <w:trHeight w:val="210"/>
          <w:jc w:val="center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2.995.737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2.592.416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2.458.324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-13,5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-5,2</w:t>
            </w:r>
          </w:p>
        </w:tc>
      </w:tr>
    </w:tbl>
    <w:p w:rsidR="00986E7A" w:rsidRPr="005F642D" w:rsidRDefault="00986E7A" w:rsidP="00C331D0">
      <w:pPr>
        <w:jc w:val="both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Elaborazione UIL </w:t>
      </w:r>
      <w:r w:rsidR="00AB4713"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Servizi Politiche</w:t>
      </w: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Territoriali e del Lavoro su Rapporti annuali INPS</w:t>
      </w:r>
    </w:p>
    <w:p w:rsidR="00AB4713" w:rsidRDefault="003A3CF1" w:rsidP="00AB4713">
      <w:pPr>
        <w:jc w:val="both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*I dati relativi al</w:t>
      </w:r>
      <w:r w:rsidR="00986E7A"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2016 sono stima UIL </w:t>
      </w:r>
    </w:p>
    <w:p w:rsidR="004F60B5" w:rsidRDefault="004F60B5" w:rsidP="00AB4713">
      <w:pPr>
        <w:jc w:val="both"/>
        <w:outlineLvl w:val="0"/>
        <w:rPr>
          <w:rFonts w:cs="Calibri"/>
          <w:color w:val="000000"/>
          <w:u w:color="000000"/>
          <w:lang w:eastAsia="it-IT"/>
        </w:rPr>
      </w:pPr>
    </w:p>
    <w:p w:rsidR="00986E7A" w:rsidRPr="00AB4713" w:rsidRDefault="00986E7A" w:rsidP="00AB4713">
      <w:pPr>
        <w:jc w:val="both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Nel 2016, infatti, </w:t>
      </w:r>
      <w:r w:rsidR="00AB4713">
        <w:rPr>
          <w:rFonts w:cs="Calibri"/>
          <w:color w:val="000000"/>
          <w:u w:color="000000"/>
          <w:lang w:eastAsia="it-IT"/>
        </w:rPr>
        <w:t>ha spiegato ancora</w:t>
      </w:r>
      <w:r w:rsidRPr="005D6416">
        <w:rPr>
          <w:rFonts w:cs="Calibri"/>
          <w:color w:val="000000"/>
          <w:u w:color="000000"/>
          <w:lang w:eastAsia="it-IT"/>
        </w:rPr>
        <w:t xml:space="preserve"> </w:t>
      </w:r>
      <w:r w:rsidR="00AB4713">
        <w:rPr>
          <w:rFonts w:cs="Calibri"/>
          <w:b/>
          <w:bCs/>
          <w:color w:val="000000"/>
          <w:u w:color="000000"/>
          <w:lang w:eastAsia="it-IT"/>
        </w:rPr>
        <w:t xml:space="preserve">Guglielmo </w:t>
      </w:r>
      <w:r w:rsidR="00617944">
        <w:rPr>
          <w:rFonts w:cs="Calibri"/>
          <w:b/>
          <w:bCs/>
          <w:color w:val="000000"/>
          <w:u w:color="000000"/>
          <w:lang w:eastAsia="it-IT"/>
        </w:rPr>
        <w:t xml:space="preserve">Loy, </w:t>
      </w:r>
      <w:r w:rsidR="00617944" w:rsidRPr="005D6416">
        <w:rPr>
          <w:rFonts w:cs="Calibri"/>
          <w:color w:val="000000"/>
          <w:u w:color="000000"/>
          <w:lang w:eastAsia="it-IT"/>
        </w:rPr>
        <w:t>su</w:t>
      </w:r>
      <w:r w:rsidRPr="005D6416">
        <w:rPr>
          <w:rFonts w:cs="Calibri"/>
          <w:color w:val="000000"/>
          <w:u w:color="000000"/>
          <w:lang w:eastAsia="it-IT"/>
        </w:rPr>
        <w:t xml:space="preserve">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14 milioni</w:t>
      </w:r>
      <w:r w:rsidRPr="005D6416">
        <w:rPr>
          <w:rFonts w:cs="Calibri"/>
          <w:color w:val="000000"/>
          <w:u w:color="000000"/>
          <w:lang w:eastAsia="it-IT"/>
        </w:rPr>
        <w:t xml:space="preserve"> di lavoratrici e lavoratori del settore privato (escluso il settore agricolo)</w:t>
      </w:r>
      <w:r>
        <w:rPr>
          <w:rFonts w:cs="Calibri"/>
          <w:color w:val="000000"/>
          <w:u w:color="000000"/>
          <w:lang w:eastAsia="it-IT"/>
        </w:rPr>
        <w:t xml:space="preserve"> </w:t>
      </w:r>
      <w:r w:rsidRPr="005D6416">
        <w:rPr>
          <w:rFonts w:cs="Calibri"/>
          <w:color w:val="000000"/>
          <w:u w:color="000000"/>
          <w:lang w:eastAsia="it-IT"/>
        </w:rPr>
        <w:t xml:space="preserve">il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17,5</w:t>
      </w:r>
      <w:r w:rsidR="00617944" w:rsidRPr="005D6416">
        <w:rPr>
          <w:rFonts w:cs="Calibri"/>
          <w:b/>
          <w:bCs/>
          <w:color w:val="000000"/>
          <w:u w:color="000000"/>
          <w:lang w:eastAsia="it-IT"/>
        </w:rPr>
        <w:t>%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 ha</w:t>
      </w:r>
      <w:r w:rsidR="00172E94">
        <w:rPr>
          <w:rFonts w:cs="Calibri"/>
          <w:color w:val="000000"/>
          <w:u w:color="000000"/>
          <w:lang w:eastAsia="it-IT"/>
        </w:rPr>
        <w:t xml:space="preserve"> fruito o fruir</w:t>
      </w:r>
      <w:r w:rsidR="00FF3861">
        <w:rPr>
          <w:rFonts w:cs="Calibri"/>
          <w:color w:val="000000"/>
          <w:u w:color="000000"/>
          <w:lang w:eastAsia="it-IT"/>
        </w:rPr>
        <w:t>à</w:t>
      </w:r>
      <w:r w:rsidRPr="005D6416">
        <w:rPr>
          <w:rFonts w:cs="Calibri"/>
          <w:color w:val="000000"/>
          <w:u w:color="000000"/>
          <w:lang w:eastAsia="it-IT"/>
        </w:rPr>
        <w:t xml:space="preserve"> della cassa integrazione o della mobilità o, peggio, del</w:t>
      </w:r>
      <w:r w:rsidR="00172E94">
        <w:rPr>
          <w:rFonts w:cs="Calibri"/>
          <w:color w:val="000000"/>
          <w:u w:color="000000"/>
          <w:lang w:eastAsia="it-IT"/>
        </w:rPr>
        <w:t xml:space="preserve"> sussidio di disoccupazione (</w:t>
      </w:r>
      <w:r w:rsidRPr="005D6416">
        <w:rPr>
          <w:rFonts w:cs="Calibri"/>
          <w:color w:val="000000"/>
          <w:u w:color="000000"/>
          <w:lang w:eastAsia="it-IT"/>
        </w:rPr>
        <w:t>NASPI</w:t>
      </w:r>
      <w:r w:rsidR="00172E94">
        <w:rPr>
          <w:rFonts w:cs="Calibri"/>
          <w:color w:val="000000"/>
          <w:u w:color="000000"/>
          <w:lang w:eastAsia="it-IT"/>
        </w:rPr>
        <w:t>).</w:t>
      </w:r>
      <w:r w:rsidRPr="005D6416">
        <w:rPr>
          <w:rFonts w:cs="Calibri"/>
          <w:color w:val="000000"/>
          <w:u w:color="000000"/>
          <w:lang w:eastAsia="it-IT"/>
        </w:rPr>
        <w:t xml:space="preserve">  </w:t>
      </w:r>
    </w:p>
    <w:p w:rsidR="004F60B5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Nello specifico, i beneficiari di </w:t>
      </w:r>
      <w:r w:rsidR="00AB4713">
        <w:rPr>
          <w:rFonts w:cs="Calibri"/>
          <w:b/>
          <w:bCs/>
          <w:color w:val="000000"/>
          <w:u w:color="000000"/>
          <w:lang w:eastAsia="it-IT"/>
        </w:rPr>
        <w:t>c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assa </w:t>
      </w:r>
      <w:r w:rsidR="00AB4713">
        <w:rPr>
          <w:rFonts w:cs="Calibri"/>
          <w:b/>
          <w:bCs/>
          <w:color w:val="000000"/>
          <w:u w:color="000000"/>
          <w:lang w:eastAsia="it-IT"/>
        </w:rPr>
        <w:t>i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ntegrazione</w:t>
      </w:r>
      <w:r w:rsidRPr="005D6416">
        <w:rPr>
          <w:rFonts w:cs="Calibri"/>
          <w:color w:val="000000"/>
          <w:u w:color="000000"/>
          <w:lang w:eastAsia="it-IT"/>
        </w:rPr>
        <w:t xml:space="preserve"> ammontano a poco meno di 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640 mila</w:t>
      </w:r>
      <w:r w:rsidRPr="005D6416">
        <w:rPr>
          <w:rFonts w:cs="Calibri"/>
          <w:color w:val="000000"/>
          <w:u w:color="000000"/>
          <w:lang w:eastAsia="it-IT"/>
        </w:rPr>
        <w:t xml:space="preserve"> persone</w:t>
      </w:r>
      <w:r w:rsidR="00AB4713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in diminuzione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14%</w:t>
      </w:r>
      <w:r w:rsidRPr="005D6416">
        <w:rPr>
          <w:rFonts w:cs="Calibri"/>
          <w:color w:val="000000"/>
          <w:u w:color="000000"/>
          <w:lang w:eastAsia="it-IT"/>
        </w:rPr>
        <w:t xml:space="preserve"> rispetto al 2015; gli assegni per la </w:t>
      </w:r>
      <w:r w:rsidR="00AB4713">
        <w:rPr>
          <w:rFonts w:cs="Calibri"/>
          <w:color w:val="000000"/>
          <w:u w:color="000000"/>
          <w:lang w:eastAsia="it-IT"/>
        </w:rPr>
        <w:t>m</w:t>
      </w:r>
      <w:r w:rsidRPr="005D6416">
        <w:rPr>
          <w:rFonts w:cs="Calibri"/>
          <w:color w:val="000000"/>
          <w:u w:color="000000"/>
          <w:lang w:eastAsia="it-IT"/>
        </w:rPr>
        <w:t xml:space="preserve">obilità ammontano a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185 mila</w:t>
      </w:r>
      <w:r w:rsidRPr="005D6416">
        <w:rPr>
          <w:rFonts w:cs="Calibri"/>
          <w:color w:val="000000"/>
          <w:u w:color="000000"/>
          <w:lang w:eastAsia="it-IT"/>
        </w:rPr>
        <w:t xml:space="preserve">, in diminuzione del </w:t>
      </w:r>
      <w:r w:rsidRPr="002207A1">
        <w:rPr>
          <w:rFonts w:cs="Calibri"/>
          <w:b/>
          <w:color w:val="000000"/>
          <w:u w:color="000000"/>
          <w:lang w:eastAsia="it-IT"/>
        </w:rPr>
        <w:t>4,5%</w:t>
      </w:r>
      <w:r w:rsidRPr="005D6416">
        <w:rPr>
          <w:rFonts w:cs="Calibri"/>
          <w:color w:val="000000"/>
          <w:u w:color="000000"/>
          <w:lang w:eastAsia="it-IT"/>
        </w:rPr>
        <w:t xml:space="preserve"> rispetto allo scorso anno; infine per la </w:t>
      </w:r>
      <w:r w:rsidRPr="00CE7DB5">
        <w:rPr>
          <w:rFonts w:cs="Calibri"/>
          <w:b/>
          <w:color w:val="000000"/>
          <w:u w:color="000000"/>
          <w:lang w:eastAsia="it-IT"/>
        </w:rPr>
        <w:t>NASPI, ASPI, disoccupazione</w:t>
      </w:r>
      <w:r w:rsidR="00AB4713">
        <w:rPr>
          <w:rFonts w:cs="Calibri"/>
          <w:color w:val="000000"/>
          <w:u w:color="FF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i soggetti beneficiari degli assegni ammontano a oltre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1,6 milioni</w:t>
      </w:r>
      <w:r w:rsidR="00AB4713" w:rsidRPr="00AB4713">
        <w:rPr>
          <w:rFonts w:cs="Calibri"/>
          <w:bCs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in diminuzione dell'</w:t>
      </w:r>
      <w:r w:rsidRPr="002207A1">
        <w:rPr>
          <w:rFonts w:cs="Calibri"/>
          <w:b/>
          <w:color w:val="000000"/>
          <w:u w:color="000000"/>
          <w:lang w:eastAsia="it-IT"/>
        </w:rPr>
        <w:t xml:space="preserve">1,3% </w:t>
      </w:r>
      <w:r w:rsidRPr="005D6416">
        <w:rPr>
          <w:rFonts w:cs="Calibri"/>
          <w:color w:val="000000"/>
          <w:u w:color="000000"/>
          <w:lang w:eastAsia="it-IT"/>
        </w:rPr>
        <w:t xml:space="preserve">sullo scorso anno. </w:t>
      </w:r>
    </w:p>
    <w:p w:rsidR="00617944" w:rsidRDefault="00617944" w:rsidP="005D6416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lastRenderedPageBreak/>
        <w:t xml:space="preserve">Certamente il piccolo vento di ripresa può aver contribuito a una parziale riduzione della domanda di ammortizzatori, ma la richiesta continua ad essere ancora particolarmente alta e certamente a livelli che non lasciano ancora evincere il superamento della crisi. </w:t>
      </w:r>
    </w:p>
    <w:p w:rsidR="00986E7A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A livello regionale</w:t>
      </w:r>
      <w:r w:rsidRPr="005D6416">
        <w:rPr>
          <w:rFonts w:cs="Calibri"/>
          <w:color w:val="000000"/>
          <w:u w:color="FF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è </w:t>
      </w:r>
      <w:r w:rsidR="00FF3861" w:rsidRPr="005D6416">
        <w:rPr>
          <w:rFonts w:cs="Calibri"/>
          <w:color w:val="000000"/>
          <w:u w:color="000000"/>
          <w:lang w:eastAsia="it-IT"/>
        </w:rPr>
        <w:t>in Lombardia</w:t>
      </w:r>
      <w:r w:rsidRPr="005D6416">
        <w:rPr>
          <w:rFonts w:cs="Calibri"/>
          <w:color w:val="000000"/>
          <w:u w:color="000000"/>
          <w:lang w:eastAsia="it-IT"/>
        </w:rPr>
        <w:t xml:space="preserve"> che si registra il numero più alto di persone in ammortizzator</w:t>
      </w:r>
      <w:r w:rsidR="002207A1">
        <w:rPr>
          <w:rFonts w:cs="Calibri"/>
          <w:color w:val="000000"/>
          <w:u w:color="000000"/>
          <w:lang w:eastAsia="it-IT"/>
        </w:rPr>
        <w:t>e</w:t>
      </w:r>
      <w:r w:rsidRPr="005D6416">
        <w:rPr>
          <w:rFonts w:cs="Calibri"/>
          <w:color w:val="000000"/>
          <w:u w:color="000000"/>
          <w:lang w:eastAsia="it-IT"/>
        </w:rPr>
        <w:t xml:space="preserve"> social</w:t>
      </w:r>
      <w:r w:rsidR="002207A1">
        <w:rPr>
          <w:rFonts w:cs="Calibri"/>
          <w:color w:val="000000"/>
          <w:u w:color="000000"/>
          <w:lang w:eastAsia="it-IT"/>
        </w:rPr>
        <w:t>e</w:t>
      </w:r>
      <w:r w:rsidRPr="005D6416">
        <w:rPr>
          <w:rFonts w:cs="Calibri"/>
          <w:color w:val="000000"/>
          <w:u w:color="000000"/>
          <w:lang w:eastAsia="it-IT"/>
        </w:rPr>
        <w:t xml:space="preserve"> con il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15,4%</w:t>
      </w:r>
      <w:r w:rsidRPr="005D6416">
        <w:rPr>
          <w:rFonts w:cs="Calibri"/>
          <w:color w:val="000000"/>
          <w:u w:color="000000"/>
          <w:lang w:eastAsia="it-IT"/>
        </w:rPr>
        <w:t xml:space="preserve"> sul totale nazionale (379 mila persone); in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Campania</w:t>
      </w:r>
      <w:r w:rsidRPr="005D6416">
        <w:rPr>
          <w:rFonts w:cs="Calibri"/>
          <w:color w:val="000000"/>
          <w:u w:color="000000"/>
          <w:lang w:eastAsia="it-IT"/>
        </w:rPr>
        <w:t xml:space="preserve"> sono il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9,3%</w:t>
      </w:r>
      <w:r w:rsidRPr="005D6416">
        <w:rPr>
          <w:rFonts w:cs="Calibri"/>
          <w:color w:val="000000"/>
          <w:u w:color="000000"/>
          <w:lang w:eastAsia="it-IT"/>
        </w:rPr>
        <w:t xml:space="preserve"> del totale nazionale (229 mila persone); in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Emilia Romagna</w:t>
      </w:r>
      <w:r w:rsidRPr="005D6416">
        <w:rPr>
          <w:rFonts w:cs="Calibri"/>
          <w:color w:val="000000"/>
          <w:u w:color="000000"/>
          <w:lang w:eastAsia="it-IT"/>
        </w:rPr>
        <w:t xml:space="preserve"> l’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8,4%</w:t>
      </w:r>
      <w:r w:rsidRPr="005D6416">
        <w:rPr>
          <w:rFonts w:cs="Calibri"/>
          <w:color w:val="000000"/>
          <w:u w:color="000000"/>
          <w:lang w:eastAsia="it-IT"/>
        </w:rPr>
        <w:t xml:space="preserve"> del totale nazionale (206 mila persone); nel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Lazio </w:t>
      </w:r>
      <w:r w:rsidRPr="005D6416">
        <w:rPr>
          <w:rFonts w:cs="Calibri"/>
          <w:color w:val="000000"/>
          <w:u w:color="000000"/>
          <w:lang w:eastAsia="it-IT"/>
        </w:rPr>
        <w:t>l’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8,</w:t>
      </w:r>
      <w:r w:rsidR="004D52AF">
        <w:rPr>
          <w:rFonts w:cs="Calibri"/>
          <w:b/>
          <w:bCs/>
          <w:color w:val="000000"/>
          <w:u w:color="000000"/>
          <w:lang w:eastAsia="it-IT"/>
        </w:rPr>
        <w:t>1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%</w:t>
      </w:r>
      <w:r w:rsidRPr="005D6416">
        <w:rPr>
          <w:rFonts w:cs="Calibri"/>
          <w:color w:val="000000"/>
          <w:u w:color="000000"/>
          <w:lang w:eastAsia="it-IT"/>
        </w:rPr>
        <w:t xml:space="preserve"> del totale nazionale (</w:t>
      </w:r>
      <w:r w:rsidR="0058034A">
        <w:rPr>
          <w:rFonts w:cs="Calibri"/>
          <w:color w:val="000000"/>
          <w:u w:color="000000"/>
          <w:lang w:eastAsia="it-IT"/>
        </w:rPr>
        <w:t>quasi 200</w:t>
      </w:r>
      <w:r w:rsidRPr="005D6416">
        <w:rPr>
          <w:rFonts w:cs="Calibri"/>
          <w:color w:val="000000"/>
          <w:u w:color="000000"/>
          <w:lang w:eastAsia="it-IT"/>
        </w:rPr>
        <w:t xml:space="preserve"> mila persone); in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Veneto</w:t>
      </w:r>
      <w:r w:rsidRPr="005D6416">
        <w:rPr>
          <w:rFonts w:cs="Calibri"/>
          <w:color w:val="000000"/>
          <w:u w:color="000000"/>
          <w:lang w:eastAsia="it-IT"/>
        </w:rPr>
        <w:t xml:space="preserve"> il </w:t>
      </w:r>
      <w:r w:rsidRPr="004D52AF">
        <w:rPr>
          <w:rFonts w:cs="Calibri"/>
          <w:b/>
          <w:color w:val="000000"/>
          <w:u w:color="000000"/>
          <w:lang w:eastAsia="it-IT"/>
        </w:rPr>
        <w:t>7,8%</w:t>
      </w:r>
      <w:r w:rsidRPr="005D6416">
        <w:rPr>
          <w:rFonts w:cs="Calibri"/>
          <w:color w:val="000000"/>
          <w:u w:color="000000"/>
          <w:lang w:eastAsia="it-IT"/>
        </w:rPr>
        <w:t xml:space="preserve"> del totale nazionale (193 mila persone).</w:t>
      </w:r>
    </w:p>
    <w:p w:rsidR="00986E7A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986E7A" w:rsidRPr="005F642D" w:rsidRDefault="00986E7A" w:rsidP="00C331D0">
      <w:pPr>
        <w:jc w:val="center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AMMORTIZZATORI SOCIALI: BENEFICIARI ANNI 2015-2016 (VALORI ASSOLUTI)</w:t>
      </w:r>
      <w:r w:rsidR="004D52AF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0"/>
        <w:gridCol w:w="868"/>
        <w:gridCol w:w="882"/>
        <w:gridCol w:w="1205"/>
        <w:gridCol w:w="1029"/>
        <w:gridCol w:w="1041"/>
        <w:gridCol w:w="870"/>
        <w:gridCol w:w="1205"/>
        <w:gridCol w:w="1058"/>
      </w:tblGrid>
      <w:tr w:rsidR="00986E7A" w:rsidRPr="005F642D" w:rsidTr="002E6031">
        <w:trPr>
          <w:trHeight w:val="210"/>
          <w:jc w:val="center"/>
        </w:trPr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REGIONI</w:t>
            </w:r>
          </w:p>
        </w:tc>
        <w:tc>
          <w:tcPr>
            <w:tcW w:w="20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2015</w:t>
            </w:r>
          </w:p>
        </w:tc>
        <w:tc>
          <w:tcPr>
            <w:tcW w:w="2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2016*</w:t>
            </w:r>
          </w:p>
        </w:tc>
      </w:tr>
      <w:tr w:rsidR="00986E7A" w:rsidRPr="005F642D" w:rsidTr="002E6031">
        <w:trPr>
          <w:trHeight w:val="610"/>
          <w:jc w:val="center"/>
        </w:trPr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CASSA INTEGRAZIONE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MOBILITA’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DISOCCUPAZIONE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CASSA INTEGRAZIONE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MOBILITA’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DISOCCUPAZIONE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4"/>
                <w:szCs w:val="14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Piemonte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82.873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16.436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90.500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189.809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70.496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16.973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93.202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180.671</w:t>
            </w:r>
          </w:p>
        </w:tc>
      </w:tr>
      <w:tr w:rsidR="00986E7A" w:rsidRPr="005F642D" w:rsidTr="002E6031">
        <w:trPr>
          <w:trHeight w:val="162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Val d’Aosta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1.585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6.069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7.847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1.337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6.198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7.719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Lombardia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146.281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39.834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207.967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394.082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129.550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37.453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212.350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379.353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Trentino Alto Adige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12.351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2.707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57.596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72.654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11.399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2.306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55.737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69.442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Veneto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77.675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23.591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132.800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234.066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44.593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21.310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126.880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192.783</w:t>
            </w:r>
          </w:p>
        </w:tc>
      </w:tr>
      <w:tr w:rsidR="00986E7A" w:rsidRPr="005F642D" w:rsidTr="002E6031">
        <w:trPr>
          <w:trHeight w:val="212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Friuli Venezia Giulia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25.202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8.895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31.695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65.792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22.039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7.657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31.229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60.925</w:t>
            </w:r>
          </w:p>
        </w:tc>
      </w:tr>
      <w:tr w:rsidR="00986E7A" w:rsidRPr="005F642D" w:rsidTr="002E6031">
        <w:trPr>
          <w:trHeight w:val="118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Liguria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13.308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2.514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44.673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60.495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12.706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2.583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41.833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57.122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Emilia Romagna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71.823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16.823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133.452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222.098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61.222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16.051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128.801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206.074</w:t>
            </w:r>
          </w:p>
        </w:tc>
      </w:tr>
      <w:tr w:rsidR="00986E7A" w:rsidRPr="005F642D" w:rsidTr="002E6031">
        <w:trPr>
          <w:trHeight w:val="10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Toscana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41.814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12.376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110.824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165.014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39.660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10.886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105.031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155.577</w:t>
            </w:r>
          </w:p>
        </w:tc>
      </w:tr>
      <w:tr w:rsidR="00986E7A" w:rsidRPr="005F642D" w:rsidTr="002E6031">
        <w:trPr>
          <w:trHeight w:val="148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Umbria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14.898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2.514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21.598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39.010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13.997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2.952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22.243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39.192</w:t>
            </w:r>
          </w:p>
        </w:tc>
      </w:tr>
      <w:tr w:rsidR="00986E7A" w:rsidRPr="005F642D" w:rsidTr="002E6031">
        <w:trPr>
          <w:trHeight w:val="68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Marche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35.316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9.475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48.128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92.919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30.360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8.395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46.687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85.442</w:t>
            </w:r>
          </w:p>
        </w:tc>
      </w:tr>
      <w:tr w:rsidR="00986E7A" w:rsidRPr="005F642D" w:rsidTr="002E6031">
        <w:trPr>
          <w:trHeight w:val="131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Lazio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57.901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13.923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125.043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196.867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53.696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14.483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131.331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199.510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Abruzzo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19.182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6.575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47.093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72.850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19.943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6.273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45.657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71.873</w:t>
            </w:r>
          </w:p>
        </w:tc>
      </w:tr>
      <w:tr w:rsidR="00986E7A" w:rsidRPr="005F642D" w:rsidTr="002E6031">
        <w:trPr>
          <w:trHeight w:val="98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Molise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3.712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1.160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9.577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14.449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3.592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1.199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9.306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14.097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Campania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45.450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12.956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177.070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235.476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41.893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12.362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175.137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229.392</w:t>
            </w:r>
          </w:p>
        </w:tc>
      </w:tr>
      <w:tr w:rsidR="00986E7A" w:rsidRPr="005F642D" w:rsidTr="002E6031">
        <w:trPr>
          <w:trHeight w:val="95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Puglia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41.954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9.282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121.205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172.441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34.244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9.133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117.927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161.304</w:t>
            </w:r>
          </w:p>
        </w:tc>
      </w:tr>
      <w:tr w:rsidR="00986E7A" w:rsidRPr="005F642D" w:rsidTr="002E6031">
        <w:trPr>
          <w:trHeight w:val="143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Basilicata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4.988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1.740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19.186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25.914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6.153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1.568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18.903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26.624</w:t>
            </w:r>
          </w:p>
        </w:tc>
      </w:tr>
      <w:tr w:rsidR="00986E7A" w:rsidRPr="005F642D" w:rsidTr="002E6031">
        <w:trPr>
          <w:trHeight w:val="63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Calabria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9.062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3.094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56.627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68.783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7.903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2.675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56.816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67.394</w:t>
            </w:r>
          </w:p>
        </w:tc>
      </w:tr>
      <w:tr w:rsidR="00986E7A" w:rsidRPr="005F642D" w:rsidTr="002E6031">
        <w:trPr>
          <w:trHeight w:val="139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Sicilia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27.664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5.414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142.251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175.329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24.495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5.996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143.008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173.499</w:t>
            </w:r>
          </w:p>
        </w:tc>
      </w:tr>
      <w:tr w:rsidR="00986E7A" w:rsidRPr="005F642D" w:rsidTr="002E6031">
        <w:trPr>
          <w:trHeight w:val="58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Sardegna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9.727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3.867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72.926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86.520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9.710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4.152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66.473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80.335</w:t>
            </w:r>
          </w:p>
        </w:tc>
      </w:tr>
      <w:tr w:rsidR="00986E7A" w:rsidRPr="005F642D" w:rsidTr="002E6031">
        <w:trPr>
          <w:trHeight w:val="106"/>
          <w:jc w:val="center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742.766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193.370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1.656.280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2.592.416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638.987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184.589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1.634.748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2.458.324</w:t>
            </w:r>
          </w:p>
        </w:tc>
      </w:tr>
    </w:tbl>
    <w:p w:rsidR="00986E7A" w:rsidRPr="005F642D" w:rsidRDefault="00986E7A" w:rsidP="00C331D0">
      <w:pPr>
        <w:jc w:val="both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Elaborazione UIL </w:t>
      </w:r>
      <w:r w:rsidR="00B05F02"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Servizi Politiche</w:t>
      </w: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Territoriali e del Lavoro su Rapporti annuali INPS</w:t>
      </w:r>
    </w:p>
    <w:p w:rsidR="00617944" w:rsidRDefault="00617944" w:rsidP="00617944">
      <w:pPr>
        <w:jc w:val="both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*</w:t>
      </w:r>
      <w:r w:rsidR="00986E7A"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Il 2016 sono stima UIL </w:t>
      </w:r>
    </w:p>
    <w:p w:rsidR="004F60B5" w:rsidRDefault="004F60B5" w:rsidP="004F60B5">
      <w:pPr>
        <w:jc w:val="both"/>
        <w:outlineLvl w:val="0"/>
        <w:rPr>
          <w:rFonts w:asciiTheme="minorHAnsi" w:hAnsiTheme="minorHAnsi" w:cs="Calibri"/>
          <w:color w:val="000000"/>
          <w:sz w:val="24"/>
          <w:szCs w:val="24"/>
          <w:u w:color="000000"/>
          <w:lang w:eastAsia="it-IT"/>
        </w:rPr>
      </w:pPr>
    </w:p>
    <w:p w:rsidR="004F60B5" w:rsidRDefault="00DF686E" w:rsidP="004F60B5">
      <w:pPr>
        <w:jc w:val="both"/>
        <w:outlineLvl w:val="0"/>
        <w:rPr>
          <w:rFonts w:asciiTheme="minorHAnsi" w:hAnsiTheme="minorHAnsi" w:cs="Calibri"/>
          <w:color w:val="000000"/>
          <w:u w:color="000000"/>
          <w:lang w:eastAsia="it-IT"/>
        </w:rPr>
      </w:pPr>
      <w:r>
        <w:rPr>
          <w:rFonts w:asciiTheme="minorHAnsi" w:hAnsiTheme="minorHAnsi" w:cs="Calibri"/>
          <w:color w:val="000000"/>
          <w:sz w:val="24"/>
          <w:szCs w:val="24"/>
          <w:u w:color="000000"/>
          <w:lang w:eastAsia="it-IT"/>
        </w:rPr>
        <w:t>È i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nteressante </w:t>
      </w:r>
      <w:r>
        <w:rPr>
          <w:rFonts w:asciiTheme="minorHAnsi" w:hAnsiTheme="minorHAnsi" w:cs="Calibri"/>
          <w:color w:val="000000"/>
          <w:u w:color="000000"/>
          <w:lang w:eastAsia="it-IT"/>
        </w:rPr>
        <w:t>analizzare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il dato del rapporto tra beneficiari di prestazioni sociali sul totale </w:t>
      </w:r>
      <w:r w:rsidRPr="00AB4713">
        <w:rPr>
          <w:rFonts w:asciiTheme="minorHAnsi" w:hAnsiTheme="minorHAnsi" w:cs="Calibri"/>
          <w:color w:val="000000"/>
          <w:u w:color="000000"/>
          <w:lang w:eastAsia="it-IT"/>
        </w:rPr>
        <w:t>degli occupati dipendenti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del </w:t>
      </w:r>
      <w:r w:rsidRPr="00AB4713">
        <w:rPr>
          <w:rFonts w:asciiTheme="minorHAnsi" w:hAnsiTheme="minorHAnsi" w:cs="Calibri"/>
          <w:color w:val="000000"/>
          <w:u w:color="000000"/>
          <w:lang w:eastAsia="it-IT"/>
        </w:rPr>
        <w:t>settore privato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(al netto dell’agricoltura)</w:t>
      </w:r>
      <w:r>
        <w:rPr>
          <w:rFonts w:asciiTheme="minorHAnsi" w:hAnsiTheme="minorHAnsi" w:cs="Calibri"/>
          <w:color w:val="000000"/>
          <w:u w:color="000000"/>
          <w:lang w:eastAsia="it-IT"/>
        </w:rPr>
        <w:t>: da questa analisi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emerge che in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Molise</w:t>
      </w:r>
      <w:r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,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 xml:space="preserve"> </w:t>
      </w:r>
      <w:r w:rsidRPr="00AB4713">
        <w:rPr>
          <w:rFonts w:asciiTheme="minorHAnsi" w:hAnsiTheme="minorHAnsi" w:cs="Calibri"/>
          <w:color w:val="000000"/>
          <w:u w:color="000000"/>
          <w:lang w:eastAsia="it-IT"/>
        </w:rPr>
        <w:t>il</w:t>
      </w:r>
      <w:r w:rsidRPr="00AB4713">
        <w:rPr>
          <w:rFonts w:asciiTheme="minorHAnsi" w:hAnsiTheme="minorHAnsi" w:cs="Calibri"/>
          <w:b/>
          <w:color w:val="000000"/>
          <w:u w:color="000000"/>
          <w:lang w:eastAsia="it-IT"/>
        </w:rPr>
        <w:t xml:space="preserve"> 28,9%</w:t>
      </w:r>
      <w:r>
        <w:rPr>
          <w:rFonts w:asciiTheme="minorHAnsi" w:hAnsiTheme="minorHAnsi" w:cs="Calibri"/>
          <w:b/>
          <w:color w:val="000000"/>
          <w:u w:color="000000"/>
          <w:lang w:eastAsia="it-IT"/>
        </w:rPr>
        <w:t xml:space="preserve"> </w:t>
      </w:r>
      <w:r w:rsidRPr="00DF686E">
        <w:rPr>
          <w:rFonts w:asciiTheme="minorHAnsi" w:hAnsiTheme="minorHAnsi" w:cs="Calibri"/>
          <w:color w:val="000000"/>
          <w:u w:color="000000"/>
          <w:lang w:eastAsia="it-IT"/>
        </w:rPr>
        <w:t>(</w:t>
      </w:r>
      <w:r w:rsidR="00986E7A" w:rsidRPr="00DF686E">
        <w:rPr>
          <w:rFonts w:asciiTheme="minorHAnsi" w:hAnsiTheme="minorHAnsi" w:cs="Calibri"/>
          <w:bCs/>
          <w:color w:val="000000"/>
          <w:u w:color="000000"/>
          <w:lang w:eastAsia="it-IT"/>
        </w:rPr>
        <w:t>3 lavoratori su 10</w:t>
      </w:r>
      <w:r w:rsidRPr="00DF686E">
        <w:rPr>
          <w:rFonts w:asciiTheme="minorHAnsi" w:hAnsiTheme="minorHAnsi" w:cs="Calibri"/>
          <w:color w:val="000000"/>
          <w:u w:color="000000"/>
          <w:lang w:eastAsia="it-IT"/>
        </w:rPr>
        <w:t>)</w:t>
      </w:r>
      <w:r>
        <w:rPr>
          <w:rFonts w:asciiTheme="minorHAnsi" w:hAnsiTheme="minorHAnsi" w:cs="Calibri"/>
          <w:color w:val="000000"/>
          <w:u w:color="000000"/>
          <w:lang w:eastAsia="it-IT"/>
        </w:rPr>
        <w:t xml:space="preserve"> 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>conosc</w:t>
      </w:r>
      <w:r>
        <w:rPr>
          <w:rFonts w:asciiTheme="minorHAnsi" w:hAnsiTheme="minorHAnsi" w:cs="Calibri"/>
          <w:color w:val="000000"/>
          <w:u w:color="000000"/>
          <w:lang w:eastAsia="it-IT"/>
        </w:rPr>
        <w:t>e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l’esperienza</w:t>
      </w:r>
      <w:r w:rsidR="00986E7A" w:rsidRPr="00AB4713">
        <w:rPr>
          <w:rFonts w:asciiTheme="minorHAnsi" w:hAnsiTheme="minorHAnsi" w:cs="Calibri"/>
          <w:color w:val="FF0000"/>
          <w:u w:color="FF0000"/>
          <w:lang w:eastAsia="it-IT"/>
        </w:rPr>
        <w:t> 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di un ammortizzatore sociale; in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Basilicata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e in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Calabria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coloro che usufruiscono di ammortizzatori sono il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27,9%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del totale dell’occupazione dipendente privata; in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Sardegna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il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27,6%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; in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Sicilia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 xml:space="preserve"> il </w:t>
      </w:r>
      <w:r w:rsidR="00986E7A" w:rsidRPr="00AB4713">
        <w:rPr>
          <w:rFonts w:asciiTheme="minorHAnsi" w:hAnsiTheme="minorHAnsi" w:cs="Calibri"/>
          <w:b/>
          <w:bCs/>
          <w:color w:val="000000"/>
          <w:u w:color="000000"/>
          <w:lang w:eastAsia="it-IT"/>
        </w:rPr>
        <w:t>24,8%</w:t>
      </w:r>
      <w:r w:rsidR="00986E7A" w:rsidRPr="00AB4713">
        <w:rPr>
          <w:rFonts w:asciiTheme="minorHAnsi" w:hAnsiTheme="minorHAnsi" w:cs="Calibri"/>
          <w:color w:val="000000"/>
          <w:u w:color="000000"/>
          <w:lang w:eastAsia="it-IT"/>
        </w:rPr>
        <w:t>.</w:t>
      </w:r>
    </w:p>
    <w:p w:rsidR="004F60B5" w:rsidRDefault="004F60B5" w:rsidP="004F60B5">
      <w:pPr>
        <w:jc w:val="both"/>
        <w:outlineLvl w:val="0"/>
        <w:rPr>
          <w:rFonts w:asciiTheme="minorHAnsi" w:hAnsiTheme="minorHAnsi" w:cs="Calibri"/>
          <w:color w:val="000000"/>
          <w:u w:color="000000"/>
          <w:lang w:eastAsia="it-IT"/>
        </w:rPr>
      </w:pPr>
    </w:p>
    <w:p w:rsidR="004F60B5" w:rsidRDefault="004F60B5" w:rsidP="004F60B5">
      <w:pPr>
        <w:jc w:val="both"/>
        <w:outlineLvl w:val="0"/>
        <w:rPr>
          <w:rFonts w:asciiTheme="minorHAnsi" w:hAnsiTheme="minorHAnsi" w:cs="Calibri"/>
          <w:color w:val="000000"/>
          <w:u w:color="000000"/>
          <w:lang w:eastAsia="it-IT"/>
        </w:rPr>
      </w:pPr>
    </w:p>
    <w:p w:rsidR="004F60B5" w:rsidRDefault="004F60B5" w:rsidP="004F60B5">
      <w:pPr>
        <w:jc w:val="both"/>
        <w:outlineLvl w:val="0"/>
        <w:rPr>
          <w:rFonts w:cs="Calibri"/>
          <w:color w:val="000000"/>
          <w:u w:color="000000"/>
          <w:lang w:eastAsia="it-IT"/>
        </w:rPr>
      </w:pPr>
    </w:p>
    <w:p w:rsidR="00986E7A" w:rsidRPr="005F642D" w:rsidRDefault="00986E7A" w:rsidP="00DB3945">
      <w:pPr>
        <w:jc w:val="center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lastRenderedPageBreak/>
        <w:t>RAPPORTO DEI BENEFICIARI DI AMMORTIZZATORI SOCIALI SUL NUMERO</w:t>
      </w:r>
    </w:p>
    <w:p w:rsidR="00986E7A" w:rsidRPr="005F642D" w:rsidRDefault="00986E7A" w:rsidP="00DB3945">
      <w:pPr>
        <w:jc w:val="center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LAVORATORI E LAVORATRICI DEL SETTORE PRIVATO NON AGRICOLO</w:t>
      </w:r>
      <w:r w:rsidR="002E6031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– ANNO 2016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3"/>
        <w:gridCol w:w="2595"/>
        <w:gridCol w:w="2526"/>
        <w:gridCol w:w="2694"/>
      </w:tblGrid>
      <w:tr w:rsidR="00986E7A" w:rsidRPr="005F642D" w:rsidTr="002E6031">
        <w:trPr>
          <w:trHeight w:val="403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2E6031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R</w:t>
            </w:r>
            <w:r w:rsidR="00986E7A"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EGIONI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NUMERO LAVORATORI E LAVORATRICI SETTORE PRIVATO NON AGRICOLO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NUMERO BENEFICIARI AMMORTIZZATORI SOCIALI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RAPPORTO BENEFICIARI/LAVORATORI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Piemonte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1.085.514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180.671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16,6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Val d’Aosta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33.670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7.719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22,9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Lombardia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3.049.634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379.353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12,4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Trentino Alto Adige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315.113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69.442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22,0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Veneto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1.396.310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192.783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13,8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Friuli Venezia Giulia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312.403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60.925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19,5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Liguria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363.034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57.122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15,7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Emilia Romagna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1.279.600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206.074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16,1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Toscana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937.834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155.577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16,6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Umbria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190.537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39.192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20,6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Marche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384.367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85.442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22,2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Lazio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1.400.502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199.510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14,2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Abruzzo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291.027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71.873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24,7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Molise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48.713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14.097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28,9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Campania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934.482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229.392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24,5</w:t>
            </w:r>
          </w:p>
        </w:tc>
      </w:tr>
      <w:tr w:rsidR="00986E7A" w:rsidRPr="005F642D" w:rsidTr="002E6031">
        <w:trPr>
          <w:trHeight w:val="18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Puglia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678.967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161.304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23,8</w:t>
            </w:r>
          </w:p>
        </w:tc>
      </w:tr>
      <w:tr w:rsidR="00986E7A" w:rsidRPr="005F642D" w:rsidTr="002E6031">
        <w:trPr>
          <w:trHeight w:val="9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Basilicata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95.430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26.624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27,9</w:t>
            </w:r>
          </w:p>
        </w:tc>
      </w:tr>
      <w:tr w:rsidR="00986E7A" w:rsidRPr="005F642D" w:rsidTr="002E6031">
        <w:trPr>
          <w:trHeight w:val="2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Calabria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241.981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67.394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27,9</w:t>
            </w:r>
          </w:p>
        </w:tc>
      </w:tr>
      <w:tr w:rsidR="00986E7A" w:rsidRPr="005F642D" w:rsidTr="002E6031">
        <w:trPr>
          <w:trHeight w:val="7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Sicilia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699.475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173.499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24,8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Sardegna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290.546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80.335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27,6</w:t>
            </w:r>
          </w:p>
        </w:tc>
      </w:tr>
      <w:tr w:rsidR="00986E7A" w:rsidRPr="005F642D" w:rsidTr="002E6031">
        <w:trPr>
          <w:trHeight w:val="210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14.029.139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2.458.324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E7A" w:rsidRPr="005F1A5D" w:rsidRDefault="00986E7A" w:rsidP="0091371A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17,5</w:t>
            </w:r>
          </w:p>
        </w:tc>
      </w:tr>
    </w:tbl>
    <w:p w:rsidR="00986E7A" w:rsidRDefault="00986E7A" w:rsidP="00DB3945">
      <w:pPr>
        <w:jc w:val="both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Elaborazione UIL Servizi Politiche Territoriali e del Lavoro su dati INPS</w:t>
      </w:r>
    </w:p>
    <w:p w:rsidR="002E6031" w:rsidRPr="005F642D" w:rsidRDefault="00FF3861" w:rsidP="002E6031">
      <w:pPr>
        <w:jc w:val="both"/>
        <w:outlineLvl w:val="0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*</w:t>
      </w:r>
      <w:r w:rsidR="002E6031"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Il 2016 sono stima UIL </w:t>
      </w:r>
    </w:p>
    <w:p w:rsidR="003A7999" w:rsidRDefault="003A7999" w:rsidP="005D6416">
      <w:pPr>
        <w:jc w:val="both"/>
        <w:rPr>
          <w:rFonts w:cs="Calibri"/>
          <w:b/>
          <w:color w:val="000000"/>
          <w:u w:val="single"/>
          <w:lang w:eastAsia="it-IT"/>
        </w:rPr>
      </w:pPr>
    </w:p>
    <w:p w:rsidR="004F60B5" w:rsidRDefault="004F60B5" w:rsidP="005D6416">
      <w:pPr>
        <w:jc w:val="both"/>
        <w:rPr>
          <w:rFonts w:cs="Calibri"/>
          <w:b/>
          <w:color w:val="000000"/>
          <w:u w:val="single"/>
          <w:lang w:eastAsia="it-IT"/>
        </w:rPr>
      </w:pPr>
    </w:p>
    <w:p w:rsidR="004F60B5" w:rsidRDefault="004F60B5" w:rsidP="005D6416">
      <w:pPr>
        <w:jc w:val="both"/>
        <w:rPr>
          <w:rFonts w:cs="Calibri"/>
          <w:b/>
          <w:color w:val="000000"/>
          <w:u w:val="single"/>
          <w:lang w:eastAsia="it-IT"/>
        </w:rPr>
      </w:pPr>
    </w:p>
    <w:p w:rsidR="004F60B5" w:rsidRDefault="004F60B5" w:rsidP="005D6416">
      <w:pPr>
        <w:jc w:val="both"/>
        <w:rPr>
          <w:rFonts w:cs="Calibri"/>
          <w:b/>
          <w:color w:val="000000"/>
          <w:u w:val="single"/>
          <w:lang w:eastAsia="it-IT"/>
        </w:rPr>
      </w:pPr>
    </w:p>
    <w:p w:rsidR="004F60B5" w:rsidRDefault="004F60B5" w:rsidP="005D6416">
      <w:pPr>
        <w:jc w:val="both"/>
        <w:rPr>
          <w:rFonts w:cs="Calibri"/>
          <w:b/>
          <w:color w:val="000000"/>
          <w:u w:val="single"/>
          <w:lang w:eastAsia="it-IT"/>
        </w:rPr>
      </w:pPr>
    </w:p>
    <w:p w:rsidR="00986E7A" w:rsidRPr="00CE7DB5" w:rsidRDefault="00986E7A" w:rsidP="005D6416">
      <w:pPr>
        <w:jc w:val="both"/>
        <w:rPr>
          <w:rFonts w:cs="Calibri"/>
          <w:b/>
          <w:color w:val="000000"/>
          <w:u w:val="single"/>
          <w:lang w:eastAsia="it-IT"/>
        </w:rPr>
      </w:pPr>
      <w:r w:rsidRPr="00CE7DB5">
        <w:rPr>
          <w:rFonts w:cs="Calibri"/>
          <w:b/>
          <w:color w:val="000000"/>
          <w:u w:val="single"/>
          <w:lang w:eastAsia="it-IT"/>
        </w:rPr>
        <w:t xml:space="preserve">COSA È SUCCESSO NEL </w:t>
      </w:r>
      <w:r w:rsidR="00FF3861" w:rsidRPr="00CE7DB5">
        <w:rPr>
          <w:rFonts w:cs="Calibri"/>
          <w:b/>
          <w:color w:val="000000"/>
          <w:u w:val="single"/>
          <w:lang w:eastAsia="it-IT"/>
        </w:rPr>
        <w:t>2015?</w:t>
      </w:r>
    </w:p>
    <w:p w:rsidR="004F60B5" w:rsidRDefault="00FF3861" w:rsidP="005D6416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t>Il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sistema di protezione sociale, quello degli </w:t>
      </w:r>
      <w:r w:rsidR="00617944" w:rsidRPr="005D6416">
        <w:rPr>
          <w:rFonts w:cs="Calibri"/>
          <w:color w:val="000000"/>
          <w:u w:color="000000"/>
          <w:lang w:eastAsia="it-IT"/>
        </w:rPr>
        <w:t>ammortizzatori, tra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indennità e contributi figurativi</w:t>
      </w:r>
      <w:r>
        <w:rPr>
          <w:rFonts w:cs="Calibri"/>
          <w:color w:val="000000"/>
          <w:u w:color="000000"/>
          <w:lang w:eastAsia="it-IT"/>
        </w:rPr>
        <w:t>,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nell’ultimo anno (2015) è costato 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>19 miliardi di euro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(altrettanti se ne stimano per il 2016), in diminuzione del 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 xml:space="preserve">14,7% </w:t>
      </w:r>
      <w:r w:rsidR="00986E7A" w:rsidRPr="005D6416">
        <w:rPr>
          <w:rFonts w:cs="Calibri"/>
          <w:color w:val="000000"/>
          <w:u w:color="000000"/>
          <w:lang w:eastAsia="it-IT"/>
        </w:rPr>
        <w:t>rispetto al 2014 (</w:t>
      </w:r>
      <w:r w:rsidR="00986E7A" w:rsidRPr="005D6416">
        <w:rPr>
          <w:rFonts w:cs="Calibri"/>
          <w:b/>
          <w:bCs/>
          <w:color w:val="000000"/>
          <w:u w:color="000000"/>
          <w:lang w:eastAsia="it-IT"/>
        </w:rPr>
        <w:t>3,3 miliardi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di euro).</w:t>
      </w:r>
      <w:r w:rsidR="00617944" w:rsidRPr="00617944">
        <w:rPr>
          <w:rFonts w:cs="Calibri"/>
          <w:color w:val="000000"/>
          <w:u w:color="000000"/>
          <w:lang w:eastAsia="it-IT"/>
        </w:rPr>
        <w:t xml:space="preserve"> 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Il tutto finanziato per </w:t>
      </w:r>
      <w:r w:rsidR="00617944" w:rsidRPr="005D6416">
        <w:rPr>
          <w:rFonts w:cs="Calibri"/>
          <w:b/>
          <w:bCs/>
          <w:color w:val="000000"/>
          <w:u w:color="000000"/>
          <w:lang w:eastAsia="it-IT"/>
        </w:rPr>
        <w:t>9,3 miliardi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 di euro provenienti dai contributi di lavoratori e aziende e</w:t>
      </w:r>
      <w:r w:rsidR="00617944" w:rsidRPr="00D428C7">
        <w:rPr>
          <w:rFonts w:cs="Calibri"/>
          <w:u w:color="FF0000"/>
          <w:lang w:eastAsia="it-IT"/>
        </w:rPr>
        <w:t>,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 quasi altrettanti (</w:t>
      </w:r>
      <w:r w:rsidR="00617944" w:rsidRPr="005D6416">
        <w:rPr>
          <w:rFonts w:cs="Calibri"/>
          <w:b/>
          <w:bCs/>
          <w:color w:val="000000"/>
          <w:u w:color="000000"/>
          <w:lang w:eastAsia="it-IT"/>
        </w:rPr>
        <w:t>9,7 miliardi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 di euro)</w:t>
      </w:r>
      <w:r w:rsidR="00617944">
        <w:rPr>
          <w:rFonts w:cs="Calibri"/>
          <w:color w:val="000000"/>
          <w:u w:color="000000"/>
          <w:lang w:eastAsia="it-IT"/>
        </w:rPr>
        <w:t>,</w:t>
      </w:r>
      <w:r w:rsidR="00617944" w:rsidRPr="005D6416">
        <w:rPr>
          <w:rFonts w:cs="Calibri"/>
          <w:color w:val="000000"/>
          <w:u w:color="000000"/>
          <w:lang w:eastAsia="it-IT"/>
        </w:rPr>
        <w:t xml:space="preserve"> a carico della fiscalità generale.</w:t>
      </w:r>
      <w:r w:rsidR="00617944">
        <w:rPr>
          <w:rFonts w:cs="Calibri"/>
          <w:color w:val="000000"/>
          <w:u w:color="000000"/>
          <w:lang w:eastAsia="it-IT"/>
        </w:rPr>
        <w:t xml:space="preserve"> </w:t>
      </w: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4F60B5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FE1FB9" w:rsidRPr="00FE1FB9" w:rsidRDefault="00FE1FB9" w:rsidP="00FE1FB9">
      <w:pPr>
        <w:jc w:val="center"/>
        <w:rPr>
          <w:color w:val="000080"/>
          <w:sz w:val="16"/>
          <w:szCs w:val="16"/>
          <w:lang w:eastAsia="it-IT"/>
        </w:rPr>
      </w:pPr>
      <w:r w:rsidRPr="00FE1FB9">
        <w:rPr>
          <w:rFonts w:cs="Arial"/>
          <w:b/>
          <w:sz w:val="16"/>
          <w:szCs w:val="16"/>
          <w:lang w:eastAsia="it-IT"/>
        </w:rPr>
        <w:lastRenderedPageBreak/>
        <w:t>AM</w:t>
      </w:r>
      <w:r>
        <w:rPr>
          <w:rFonts w:cs="Arial"/>
          <w:b/>
          <w:sz w:val="16"/>
          <w:szCs w:val="16"/>
          <w:lang w:eastAsia="it-IT"/>
        </w:rPr>
        <w:t>MORTIZZATORI SOCIALI : LA SPESA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1758"/>
        <w:gridCol w:w="1378"/>
        <w:gridCol w:w="1525"/>
        <w:gridCol w:w="1238"/>
      </w:tblGrid>
      <w:tr w:rsidR="00FE1FB9" w:rsidRPr="00FE1FB9" w:rsidTr="00AB4713">
        <w:trPr>
          <w:jc w:val="center"/>
        </w:trPr>
        <w:tc>
          <w:tcPr>
            <w:tcW w:w="2007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TIPOLOGIA DI SOSTEGNO AL REDDITO</w:t>
            </w:r>
          </w:p>
        </w:tc>
        <w:tc>
          <w:tcPr>
            <w:tcW w:w="892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2014</w:t>
            </w:r>
          </w:p>
        </w:tc>
        <w:tc>
          <w:tcPr>
            <w:tcW w:w="699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2015</w:t>
            </w:r>
          </w:p>
        </w:tc>
        <w:tc>
          <w:tcPr>
            <w:tcW w:w="774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 xml:space="preserve">DIFFERENZA </w:t>
            </w:r>
          </w:p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2014-2015 (v.a.)</w:t>
            </w:r>
          </w:p>
        </w:tc>
        <w:tc>
          <w:tcPr>
            <w:tcW w:w="628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 xml:space="preserve">DIFFERENZA </w:t>
            </w:r>
          </w:p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2014-2015 (%)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CIGO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1.167.000.000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1.188.639.000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21.639.000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1,9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CIGS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3.587.000.000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2.567.000.000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-1.020.000.000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-28,4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-CONTRATTI DI SOLIDARIETA’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148.000.000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126.000.000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-22.000.000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-14,9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 CASSA INTEGRAZIONE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4.902.000.000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3.881.639.000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-1.020.361.000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-20,8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Cassa in Deroga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1.213.000.000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617.000.000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-596.000.000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-49,1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-Mobilità in deroga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538.000.000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383.000.000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-155.000.000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-28,8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AMMORTIZZATORI IN DEROGA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1.751.000.000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1.000.000.000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-751.000.000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-42,9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MOBILITA’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3.208.000.000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3.136.000.000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-72.000.000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-2,2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ASPI, NASI, MINI ASPI E DISOCCUPAZIONE</w:t>
            </w:r>
          </w:p>
        </w:tc>
        <w:tc>
          <w:tcPr>
            <w:tcW w:w="892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12.454.000.000</w:t>
            </w:r>
          </w:p>
        </w:tc>
        <w:tc>
          <w:tcPr>
            <w:tcW w:w="699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11.013.975.000</w:t>
            </w:r>
          </w:p>
        </w:tc>
        <w:tc>
          <w:tcPr>
            <w:tcW w:w="774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-1.440.025.000</w:t>
            </w:r>
          </w:p>
        </w:tc>
        <w:tc>
          <w:tcPr>
            <w:tcW w:w="628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-11,6</w:t>
            </w:r>
          </w:p>
        </w:tc>
      </w:tr>
      <w:tr w:rsidR="00FE1FB9" w:rsidRPr="00FE1FB9" w:rsidTr="00AB4713">
        <w:trPr>
          <w:jc w:val="center"/>
        </w:trPr>
        <w:tc>
          <w:tcPr>
            <w:tcW w:w="2007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892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/>
                <w:sz w:val="16"/>
                <w:szCs w:val="16"/>
                <w:lang w:eastAsia="it-IT"/>
              </w:rPr>
              <w:t>22.315.000.000</w:t>
            </w:r>
          </w:p>
        </w:tc>
        <w:tc>
          <w:tcPr>
            <w:tcW w:w="699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/>
                <w:sz w:val="16"/>
                <w:szCs w:val="16"/>
                <w:lang w:eastAsia="it-IT"/>
              </w:rPr>
              <w:t>19.031.614.000</w:t>
            </w:r>
          </w:p>
        </w:tc>
        <w:tc>
          <w:tcPr>
            <w:tcW w:w="774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/>
                <w:sz w:val="16"/>
                <w:szCs w:val="16"/>
                <w:lang w:eastAsia="it-IT"/>
              </w:rPr>
              <w:t>-3.283.386.000</w:t>
            </w:r>
          </w:p>
        </w:tc>
        <w:tc>
          <w:tcPr>
            <w:tcW w:w="628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/>
                <w:sz w:val="16"/>
                <w:szCs w:val="16"/>
                <w:lang w:eastAsia="it-IT"/>
              </w:rPr>
              <w:t>-14,7</w:t>
            </w:r>
          </w:p>
        </w:tc>
      </w:tr>
    </w:tbl>
    <w:p w:rsidR="00FE1FB9" w:rsidRPr="00FE1FB9" w:rsidRDefault="00FE1FB9" w:rsidP="00FE1FB9">
      <w:pPr>
        <w:jc w:val="both"/>
        <w:rPr>
          <w:b/>
          <w:sz w:val="16"/>
          <w:szCs w:val="16"/>
          <w:lang w:eastAsia="it-IT"/>
        </w:rPr>
      </w:pPr>
      <w:r w:rsidRPr="00FE1FB9">
        <w:rPr>
          <w:b/>
          <w:sz w:val="16"/>
          <w:szCs w:val="16"/>
          <w:lang w:eastAsia="it-IT"/>
        </w:rPr>
        <w:t>Elaborazione UIL Servizio Politiche Territoriali e del Lavoro su Rendiconti Consuntivi INPS</w:t>
      </w:r>
    </w:p>
    <w:p w:rsidR="00986E7A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</w:t>
      </w:r>
    </w:p>
    <w:p w:rsidR="009C0452" w:rsidRDefault="009C0452" w:rsidP="009C0452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Nello specifico dei costi,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continua il Segretario Confederale della UIL</w:t>
      </w:r>
      <w:r w:rsidRPr="005D6416">
        <w:rPr>
          <w:rFonts w:cs="Calibri"/>
          <w:color w:val="000000"/>
          <w:u w:color="000000"/>
          <w:lang w:eastAsia="it-IT"/>
        </w:rPr>
        <w:t xml:space="preserve">, per la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Cassa Integrazione</w:t>
      </w:r>
      <w:r w:rsidRPr="005D6416">
        <w:rPr>
          <w:rFonts w:cs="Calibri"/>
          <w:color w:val="000000"/>
          <w:u w:color="000000"/>
          <w:lang w:eastAsia="it-IT"/>
        </w:rPr>
        <w:t xml:space="preserve"> la spesa nel 2015 è stata di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3,9 miliardi</w:t>
      </w:r>
      <w:r w:rsidRPr="005D6416">
        <w:rPr>
          <w:rFonts w:cs="Calibri"/>
          <w:color w:val="000000"/>
          <w:u w:color="000000"/>
          <w:lang w:eastAsia="it-IT"/>
        </w:rPr>
        <w:t xml:space="preserve"> di euro, in diminuzione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20,8%</w:t>
      </w:r>
      <w:r w:rsidRPr="005D6416">
        <w:rPr>
          <w:rFonts w:cs="Calibri"/>
          <w:color w:val="000000"/>
          <w:u w:color="000000"/>
          <w:lang w:eastAsia="it-IT"/>
        </w:rPr>
        <w:t xml:space="preserve"> rispetto al 2014 (1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 </w:t>
      </w:r>
      <w:r w:rsidRPr="005D6416">
        <w:rPr>
          <w:rFonts w:cs="Calibri"/>
          <w:color w:val="000000"/>
          <w:u w:color="000000"/>
          <w:lang w:eastAsia="it-IT"/>
        </w:rPr>
        <w:t xml:space="preserve">miliardo di euro); per gli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ammortizzatori in deroga</w:t>
      </w:r>
      <w:r w:rsidRPr="005D6416">
        <w:rPr>
          <w:rFonts w:cs="Calibri"/>
          <w:color w:val="000000"/>
          <w:u w:color="000000"/>
          <w:lang w:eastAsia="it-IT"/>
        </w:rPr>
        <w:t xml:space="preserve"> (cassa e mobilità in deroga) il costo è stato di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1miliardo</w:t>
      </w:r>
      <w:r w:rsidRPr="005D6416">
        <w:rPr>
          <w:rFonts w:cs="Calibri"/>
          <w:color w:val="000000"/>
          <w:u w:color="000000"/>
          <w:lang w:eastAsia="it-IT"/>
        </w:rPr>
        <w:t xml:space="preserve"> di euro in diminuzione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42,9% </w:t>
      </w:r>
      <w:r w:rsidRPr="005D6416">
        <w:rPr>
          <w:rFonts w:cs="Calibri"/>
          <w:color w:val="000000"/>
          <w:u w:color="000000"/>
          <w:lang w:eastAsia="it-IT"/>
        </w:rPr>
        <w:t>(751 milioni di euro); per l’</w:t>
      </w:r>
      <w:r w:rsidR="00617944">
        <w:rPr>
          <w:rFonts w:cs="Calibri"/>
          <w:b/>
          <w:bCs/>
          <w:color w:val="000000"/>
          <w:u w:color="000000"/>
          <w:lang w:eastAsia="it-IT"/>
        </w:rPr>
        <w:t>indennità di m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obilità</w:t>
      </w:r>
      <w:r w:rsidRPr="005D6416">
        <w:rPr>
          <w:rFonts w:cs="Calibri"/>
          <w:color w:val="000000"/>
          <w:u w:color="000000"/>
          <w:lang w:eastAsia="it-IT"/>
        </w:rPr>
        <w:t xml:space="preserve"> ordinaria il costo è stato di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3,1</w:t>
      </w:r>
      <w:r w:rsidRPr="005D6416">
        <w:rPr>
          <w:rFonts w:cs="Calibri"/>
          <w:color w:val="000000"/>
          <w:u w:color="000000"/>
          <w:lang w:eastAsia="it-IT"/>
        </w:rPr>
        <w:t xml:space="preserve"> miliardi di euro, con una diminuzione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2,2% </w:t>
      </w:r>
      <w:r w:rsidRPr="005D6416">
        <w:rPr>
          <w:rFonts w:cs="Calibri"/>
          <w:color w:val="000000"/>
          <w:u w:color="000000"/>
          <w:lang w:eastAsia="it-IT"/>
        </w:rPr>
        <w:t>sul 2014 (72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 </w:t>
      </w:r>
      <w:r w:rsidRPr="005D6416">
        <w:rPr>
          <w:rFonts w:cs="Calibri"/>
          <w:color w:val="000000"/>
          <w:u w:color="000000"/>
          <w:lang w:eastAsia="it-IT"/>
        </w:rPr>
        <w:t xml:space="preserve">milioni di euro); per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ASPI, NASPI Mini ASPI e DISCOLL </w:t>
      </w:r>
      <w:r w:rsidRPr="005D6416">
        <w:rPr>
          <w:rFonts w:cs="Calibri"/>
          <w:color w:val="000000"/>
          <w:u w:color="000000"/>
          <w:lang w:eastAsia="it-IT"/>
        </w:rPr>
        <w:t xml:space="preserve">il costo è stato di oltre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11 miliardi </w:t>
      </w:r>
      <w:r w:rsidRPr="005D6416">
        <w:rPr>
          <w:rFonts w:cs="Calibri"/>
          <w:color w:val="000000"/>
          <w:u w:color="000000"/>
          <w:lang w:eastAsia="it-IT"/>
        </w:rPr>
        <w:t>di euro in diminuzione dell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’11,6% </w:t>
      </w:r>
      <w:r w:rsidRPr="005D6416">
        <w:rPr>
          <w:rFonts w:cs="Calibri"/>
          <w:color w:val="000000"/>
          <w:u w:color="000000"/>
          <w:lang w:eastAsia="it-IT"/>
        </w:rPr>
        <w:t>(1,4 miliardi di euro) rispetto al 2014</w:t>
      </w:r>
      <w:r w:rsidR="00617944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nonostante, nello stesso periodo, siano aumentati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2,5%</w:t>
      </w:r>
      <w:r w:rsidRPr="005D6416">
        <w:rPr>
          <w:rFonts w:cs="Calibri"/>
          <w:color w:val="000000"/>
          <w:u w:color="000000"/>
          <w:lang w:eastAsia="it-IT"/>
        </w:rPr>
        <w:t xml:space="preserve"> i beneficiari.</w:t>
      </w:r>
    </w:p>
    <w:p w:rsidR="00FE1FB9" w:rsidRDefault="00FE1FB9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3A7999" w:rsidRDefault="003A7999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FE1FB9" w:rsidRPr="00FE1FB9" w:rsidRDefault="00FE1FB9" w:rsidP="00FE1FB9">
      <w:pPr>
        <w:jc w:val="center"/>
        <w:rPr>
          <w:rFonts w:cs="Arial"/>
          <w:b/>
          <w:sz w:val="16"/>
          <w:szCs w:val="16"/>
          <w:lang w:eastAsia="it-IT"/>
        </w:rPr>
      </w:pPr>
      <w:r w:rsidRPr="00FE1FB9">
        <w:rPr>
          <w:rFonts w:cs="Arial"/>
          <w:b/>
          <w:sz w:val="16"/>
          <w:szCs w:val="16"/>
          <w:lang w:eastAsia="it-IT"/>
        </w:rPr>
        <w:t>AMMORTIZZATORI SOCIALI: ENTRATE DA CONTRIBUTI AZIENDE E LAVORATORI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667"/>
        <w:gridCol w:w="1399"/>
        <w:gridCol w:w="1409"/>
        <w:gridCol w:w="1342"/>
      </w:tblGrid>
      <w:tr w:rsidR="00FE1FB9" w:rsidRPr="00FE1FB9" w:rsidTr="00AB4713">
        <w:trPr>
          <w:jc w:val="center"/>
        </w:trPr>
        <w:tc>
          <w:tcPr>
            <w:tcW w:w="2048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TIPOLOGIA DI SOSTEGNO AL REDDITO</w:t>
            </w:r>
          </w:p>
        </w:tc>
        <w:tc>
          <w:tcPr>
            <w:tcW w:w="846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2014</w:t>
            </w:r>
          </w:p>
        </w:tc>
        <w:tc>
          <w:tcPr>
            <w:tcW w:w="710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2015</w:t>
            </w:r>
          </w:p>
        </w:tc>
        <w:tc>
          <w:tcPr>
            <w:tcW w:w="715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 xml:space="preserve">DIFFERENZA </w:t>
            </w:r>
          </w:p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2014-2015 (v.a.)</w:t>
            </w:r>
          </w:p>
        </w:tc>
        <w:tc>
          <w:tcPr>
            <w:tcW w:w="681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 xml:space="preserve">DIFFERENZA </w:t>
            </w:r>
          </w:p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2014-2015 (%)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CIGO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sz w:val="16"/>
                <w:szCs w:val="16"/>
                <w:lang w:eastAsia="it-IT"/>
              </w:rPr>
              <w:t>2.689.000.000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sz w:val="16"/>
                <w:szCs w:val="16"/>
                <w:lang w:eastAsia="it-IT"/>
              </w:rPr>
              <w:t>2.744.000.000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55.000.000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2,0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CIGS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sz w:val="16"/>
                <w:szCs w:val="16"/>
                <w:lang w:eastAsia="it-IT"/>
              </w:rPr>
              <w:t>1.046.000.000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sz w:val="16"/>
                <w:szCs w:val="16"/>
                <w:lang w:eastAsia="it-IT"/>
              </w:rPr>
              <w:t>1.072.000.000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26.000.000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2,5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CASSA INTEGRAZIONE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3.735.000.000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b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3.816.000.000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81.000.000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2,2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AMMORTIZZATORI IN DEROGA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25.000.000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10.653.000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-14.347.000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-57,4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MOBILITA’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609.000.000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586.698.000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-22.302.000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-3,7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ASPI, NASPI, MINI ASPI E DISOCCUPAZIONE</w:t>
            </w:r>
          </w:p>
        </w:tc>
        <w:tc>
          <w:tcPr>
            <w:tcW w:w="846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000000"/>
                <w:sz w:val="16"/>
                <w:szCs w:val="16"/>
                <w:lang w:eastAsia="it-IT"/>
              </w:rPr>
              <w:t>4.761.000.000</w:t>
            </w:r>
          </w:p>
        </w:tc>
        <w:tc>
          <w:tcPr>
            <w:tcW w:w="710" w:type="pct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4.889.134.000</w:t>
            </w:r>
          </w:p>
        </w:tc>
        <w:tc>
          <w:tcPr>
            <w:tcW w:w="715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128.314.000</w:t>
            </w:r>
          </w:p>
        </w:tc>
        <w:tc>
          <w:tcPr>
            <w:tcW w:w="681" w:type="pct"/>
            <w:vAlign w:val="bottom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+2,7</w:t>
            </w:r>
          </w:p>
        </w:tc>
      </w:tr>
      <w:tr w:rsidR="00FE1FB9" w:rsidRPr="00FE1FB9" w:rsidTr="00AB4713">
        <w:trPr>
          <w:jc w:val="center"/>
        </w:trPr>
        <w:tc>
          <w:tcPr>
            <w:tcW w:w="2048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846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9.130.000.000</w:t>
            </w:r>
          </w:p>
        </w:tc>
        <w:tc>
          <w:tcPr>
            <w:tcW w:w="710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jc w:val="right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9.302.485.000</w:t>
            </w:r>
          </w:p>
        </w:tc>
        <w:tc>
          <w:tcPr>
            <w:tcW w:w="715" w:type="pct"/>
            <w:shd w:val="clear" w:color="auto" w:fill="0000FF"/>
            <w:vAlign w:val="bottom"/>
          </w:tcPr>
          <w:p w:rsidR="00FE1FB9" w:rsidRPr="00FE1FB9" w:rsidRDefault="00FE1FB9" w:rsidP="00FE1FB9">
            <w:pPr>
              <w:jc w:val="right"/>
              <w:rPr>
                <w:b/>
                <w:color w:val="FFFFFF" w:themeColor="background1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 w:themeColor="background1"/>
                <w:sz w:val="16"/>
                <w:szCs w:val="16"/>
                <w:lang w:eastAsia="it-IT"/>
              </w:rPr>
              <w:t>172.485.000</w:t>
            </w:r>
          </w:p>
        </w:tc>
        <w:tc>
          <w:tcPr>
            <w:tcW w:w="681" w:type="pct"/>
            <w:shd w:val="clear" w:color="auto" w:fill="0000FF"/>
            <w:vAlign w:val="bottom"/>
          </w:tcPr>
          <w:p w:rsidR="00FE1FB9" w:rsidRPr="00FE1FB9" w:rsidRDefault="00FE1FB9" w:rsidP="00FE1FB9">
            <w:pPr>
              <w:jc w:val="right"/>
              <w:rPr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b/>
                <w:color w:val="FFFFFF"/>
                <w:sz w:val="16"/>
                <w:szCs w:val="16"/>
                <w:lang w:eastAsia="it-IT"/>
              </w:rPr>
              <w:t>+1,9</w:t>
            </w:r>
          </w:p>
        </w:tc>
      </w:tr>
    </w:tbl>
    <w:p w:rsidR="00FE1FB9" w:rsidRPr="00FE1FB9" w:rsidRDefault="00FE1FB9" w:rsidP="00FE1FB9">
      <w:pPr>
        <w:jc w:val="both"/>
        <w:rPr>
          <w:b/>
          <w:sz w:val="16"/>
          <w:szCs w:val="16"/>
          <w:lang w:eastAsia="it-IT"/>
        </w:rPr>
      </w:pPr>
      <w:r w:rsidRPr="00FE1FB9">
        <w:rPr>
          <w:b/>
          <w:sz w:val="16"/>
          <w:szCs w:val="16"/>
          <w:lang w:eastAsia="it-IT"/>
        </w:rPr>
        <w:t>Elaborazione UIL Servizio Politiche Territoriali e del Lavoro su Rendiconti Consuntivi INPS</w:t>
      </w:r>
    </w:p>
    <w:p w:rsidR="00FE1FB9" w:rsidRDefault="00FE1FB9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FE1FB9" w:rsidRPr="00FE1FB9" w:rsidRDefault="00986E7A" w:rsidP="00FE1FB9">
      <w:pPr>
        <w:jc w:val="both"/>
        <w:rPr>
          <w:rFonts w:cs="Calibri"/>
          <w:b/>
          <w:bCs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Se si analizza il dato congiunto </w:t>
      </w:r>
      <w:r w:rsidRPr="00FE1FB9">
        <w:rPr>
          <w:rFonts w:cs="Calibri"/>
          <w:color w:val="000000"/>
          <w:u w:color="000000"/>
          <w:lang w:eastAsia="it-IT"/>
        </w:rPr>
        <w:t xml:space="preserve">delle entrate da contributi da aziende e lavoratori e quello della spesa per gli ammortizzatori sociali, si evidenzia, nel 2015, un saldo negativo di </w:t>
      </w:r>
      <w:r w:rsidRPr="00FE1FB9">
        <w:rPr>
          <w:rFonts w:cs="Calibri"/>
          <w:b/>
          <w:bCs/>
          <w:color w:val="000000"/>
          <w:u w:color="000000"/>
          <w:lang w:eastAsia="it-IT"/>
        </w:rPr>
        <w:t>9,</w:t>
      </w:r>
      <w:r w:rsidR="00FE1FB9" w:rsidRPr="00FE1FB9">
        <w:rPr>
          <w:rFonts w:cs="Calibri"/>
          <w:b/>
          <w:bCs/>
          <w:color w:val="000000"/>
          <w:u w:color="000000"/>
          <w:lang w:eastAsia="it-IT"/>
        </w:rPr>
        <w:t>7</w:t>
      </w:r>
      <w:r w:rsidRPr="00FE1FB9">
        <w:rPr>
          <w:rFonts w:cs="Calibri"/>
          <w:b/>
          <w:bCs/>
          <w:color w:val="000000"/>
          <w:u w:color="000000"/>
          <w:lang w:eastAsia="it-IT"/>
        </w:rPr>
        <w:t xml:space="preserve"> miliardi</w:t>
      </w:r>
      <w:r w:rsidRPr="00FE1FB9">
        <w:rPr>
          <w:rFonts w:cs="Calibri"/>
          <w:color w:val="000000"/>
          <w:u w:color="000000"/>
          <w:lang w:eastAsia="it-IT"/>
        </w:rPr>
        <w:t xml:space="preserve"> di euro, coperti con la fiscalità </w:t>
      </w:r>
      <w:r w:rsidRPr="004237DB">
        <w:rPr>
          <w:rFonts w:cs="Calibri"/>
          <w:bCs/>
          <w:color w:val="000000"/>
          <w:u w:color="000000"/>
          <w:lang w:eastAsia="it-IT"/>
        </w:rPr>
        <w:t xml:space="preserve">generale, in diminuzione, </w:t>
      </w:r>
      <w:r w:rsidR="00FE1FB9" w:rsidRPr="004237DB">
        <w:rPr>
          <w:rFonts w:cs="Calibri"/>
          <w:bCs/>
          <w:color w:val="000000"/>
          <w:u w:color="000000"/>
          <w:lang w:eastAsia="it-IT"/>
        </w:rPr>
        <w:t>del</w:t>
      </w:r>
      <w:r w:rsidR="00FE1FB9" w:rsidRPr="00FE1FB9">
        <w:rPr>
          <w:rFonts w:cs="Calibri"/>
          <w:b/>
          <w:bCs/>
          <w:color w:val="000000"/>
          <w:u w:color="000000"/>
          <w:lang w:eastAsia="it-IT"/>
        </w:rPr>
        <w:t xml:space="preserve"> 26,2% rispetto al 2014 (3,5 miliardi di euro).</w:t>
      </w:r>
    </w:p>
    <w:p w:rsidR="003A7999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</w:t>
      </w:r>
    </w:p>
    <w:p w:rsidR="00FE1FB9" w:rsidRPr="00FE1FB9" w:rsidRDefault="00FE1FB9" w:rsidP="00FE1FB9">
      <w:pPr>
        <w:jc w:val="center"/>
        <w:rPr>
          <w:rFonts w:cs="Arial"/>
          <w:b/>
          <w:sz w:val="16"/>
          <w:szCs w:val="16"/>
          <w:lang w:eastAsia="it-IT"/>
        </w:rPr>
      </w:pPr>
      <w:r w:rsidRPr="00FE1FB9">
        <w:rPr>
          <w:rFonts w:cs="Arial"/>
          <w:b/>
          <w:sz w:val="16"/>
          <w:szCs w:val="16"/>
          <w:lang w:eastAsia="it-IT"/>
        </w:rPr>
        <w:t>AMMORTIZZATORI: SALDO TRA ENTRATE</w:t>
      </w:r>
      <w:r w:rsidRPr="00FE1FB9">
        <w:rPr>
          <w:rFonts w:cs="Arial"/>
          <w:sz w:val="16"/>
          <w:szCs w:val="16"/>
          <w:lang w:eastAsia="it-IT"/>
        </w:rPr>
        <w:t xml:space="preserve"> </w:t>
      </w:r>
      <w:r w:rsidRPr="00FE1FB9">
        <w:rPr>
          <w:rFonts w:cs="Arial"/>
          <w:b/>
          <w:sz w:val="16"/>
          <w:szCs w:val="16"/>
          <w:lang w:eastAsia="it-IT"/>
        </w:rPr>
        <w:t>E COSTI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123"/>
        <w:gridCol w:w="2584"/>
      </w:tblGrid>
      <w:tr w:rsidR="00FE1FB9" w:rsidRPr="00FE1FB9" w:rsidTr="00AB4713">
        <w:trPr>
          <w:jc w:val="center"/>
        </w:trPr>
        <w:tc>
          <w:tcPr>
            <w:tcW w:w="2611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TIPOLOGIA DI SOSTEGNO AL REDDITO</w:t>
            </w:r>
          </w:p>
        </w:tc>
        <w:tc>
          <w:tcPr>
            <w:tcW w:w="1077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2014</w:t>
            </w:r>
          </w:p>
        </w:tc>
        <w:tc>
          <w:tcPr>
            <w:tcW w:w="1311" w:type="pct"/>
            <w:shd w:val="clear" w:color="auto" w:fill="FF6600"/>
            <w:vAlign w:val="center"/>
          </w:tcPr>
          <w:p w:rsidR="00FE1FB9" w:rsidRPr="00FE1FB9" w:rsidRDefault="00FE1FB9" w:rsidP="00FE1FB9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ANNO 2015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CIGO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1.522.000.000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1.555.361.000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i/>
                <w:sz w:val="16"/>
                <w:szCs w:val="16"/>
                <w:lang w:eastAsia="it-IT"/>
              </w:rPr>
              <w:t>- CIGS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-2.689.000.000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-1.621.000.000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CASSA INTEGRAZIONE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-1.167.000.000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jc w:val="right"/>
              <w:rPr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color w:val="000000"/>
                <w:sz w:val="16"/>
                <w:szCs w:val="16"/>
                <w:lang w:eastAsia="it-IT"/>
              </w:rPr>
              <w:t>-65.639.000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AMMORTIZZATORI IN DEROGA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-1.726.000.000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-989.347.000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i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MOBILITA’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-2.599.000.000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-2.549.302.000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sz w:val="16"/>
                <w:szCs w:val="16"/>
                <w:lang w:eastAsia="it-IT"/>
              </w:rPr>
              <w:t>TOTALE ASPI, NASPI, MINI ASPI E DISOCCUPAZIONE</w:t>
            </w:r>
          </w:p>
        </w:tc>
        <w:tc>
          <w:tcPr>
            <w:tcW w:w="1077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-7.693.000.000</w:t>
            </w:r>
          </w:p>
        </w:tc>
        <w:tc>
          <w:tcPr>
            <w:tcW w:w="1311" w:type="pct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color w:val="000000"/>
                <w:sz w:val="16"/>
                <w:szCs w:val="16"/>
                <w:lang w:eastAsia="it-IT"/>
              </w:rPr>
              <w:t>-6.124.841.000</w:t>
            </w:r>
          </w:p>
        </w:tc>
      </w:tr>
      <w:tr w:rsidR="00FE1FB9" w:rsidRPr="00FE1FB9" w:rsidTr="00AB4713">
        <w:trPr>
          <w:jc w:val="center"/>
        </w:trPr>
        <w:tc>
          <w:tcPr>
            <w:tcW w:w="2611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Arial"/>
                <w:b/>
                <w:color w:val="FFFFFF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077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b/>
                <w:color w:val="FFFFFF"/>
                <w:sz w:val="16"/>
                <w:szCs w:val="16"/>
                <w:lang w:eastAsia="it-IT"/>
              </w:rPr>
              <w:t>-13.185.000.000</w:t>
            </w:r>
          </w:p>
        </w:tc>
        <w:tc>
          <w:tcPr>
            <w:tcW w:w="1311" w:type="pct"/>
            <w:shd w:val="clear" w:color="auto" w:fill="0000FF"/>
            <w:vAlign w:val="center"/>
          </w:tcPr>
          <w:p w:rsidR="00FE1FB9" w:rsidRPr="00FE1FB9" w:rsidRDefault="00FE1FB9" w:rsidP="00FE1FB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FFFFFF"/>
                <w:sz w:val="16"/>
                <w:szCs w:val="16"/>
                <w:lang w:eastAsia="it-IT"/>
              </w:rPr>
            </w:pPr>
            <w:r w:rsidRPr="00FE1FB9">
              <w:rPr>
                <w:rFonts w:cs="Calibri"/>
                <w:b/>
                <w:color w:val="FFFFFF"/>
                <w:sz w:val="16"/>
                <w:szCs w:val="16"/>
                <w:lang w:eastAsia="it-IT"/>
              </w:rPr>
              <w:t>-9.729.129.000</w:t>
            </w:r>
          </w:p>
        </w:tc>
      </w:tr>
    </w:tbl>
    <w:p w:rsidR="00FE1FB9" w:rsidRPr="00FE1FB9" w:rsidRDefault="00FE1FB9" w:rsidP="00FE1FB9">
      <w:pPr>
        <w:jc w:val="both"/>
        <w:rPr>
          <w:b/>
          <w:sz w:val="16"/>
          <w:szCs w:val="16"/>
          <w:lang w:eastAsia="it-IT"/>
        </w:rPr>
      </w:pPr>
      <w:r w:rsidRPr="00FE1FB9">
        <w:rPr>
          <w:b/>
          <w:sz w:val="16"/>
          <w:szCs w:val="16"/>
          <w:lang w:eastAsia="it-IT"/>
        </w:rPr>
        <w:t>Elaborazione UIL Servizio Politiche Territoriali e del Lavoro su Rendiconti Consuntivi INPS</w:t>
      </w:r>
    </w:p>
    <w:p w:rsidR="00FE1FB9" w:rsidRDefault="00FE1FB9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5A2C9E" w:rsidRDefault="005A2C9E" w:rsidP="005A2C9E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t>Nel 2015 (ultimo dato ufficiale</w:t>
      </w:r>
      <w:r w:rsidRPr="005D6416">
        <w:rPr>
          <w:rFonts w:cs="Calibri"/>
          <w:color w:val="000000"/>
          <w:u w:color="000000"/>
          <w:lang w:eastAsia="it-IT"/>
        </w:rPr>
        <w:t xml:space="preserve">), </w:t>
      </w:r>
      <w:r w:rsidR="003D2846">
        <w:rPr>
          <w:rFonts w:cs="Calibri"/>
          <w:color w:val="000000"/>
          <w:u w:color="000000"/>
          <w:lang w:eastAsia="it-IT"/>
        </w:rPr>
        <w:t>ha commentato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 Guglielmo Loy</w:t>
      </w:r>
      <w:r w:rsidRPr="005D6416">
        <w:rPr>
          <w:rFonts w:cs="Calibri"/>
          <w:color w:val="000000"/>
          <w:u w:color="000000"/>
          <w:lang w:eastAsia="it-IT"/>
        </w:rPr>
        <w:t xml:space="preserve">, hanno usufruito della Cassa Integrazione Guadagni, Mobilità e Indennità di Disoccupazione, ASPI e Mini ASPI, quasi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2,6 milioni</w:t>
      </w:r>
      <w:r w:rsidRPr="005D6416">
        <w:rPr>
          <w:rFonts w:cs="Calibri"/>
          <w:color w:val="000000"/>
          <w:u w:color="000000"/>
          <w:lang w:eastAsia="it-IT"/>
        </w:rPr>
        <w:t xml:space="preserve"> di persone, in diminuzione del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13,5%</w:t>
      </w:r>
      <w:r w:rsidRPr="005D6416">
        <w:rPr>
          <w:rFonts w:cs="Calibri"/>
          <w:color w:val="000000"/>
          <w:u w:color="000000"/>
          <w:lang w:eastAsia="it-IT"/>
        </w:rPr>
        <w:t xml:space="preserve"> rispetto all’anno precedente quando</w:t>
      </w:r>
      <w:r w:rsidR="004F60B5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ad usufruire di un ammortizzatore sociale</w:t>
      </w:r>
      <w:r w:rsidR="004F60B5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erano state quasi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3 milioni</w:t>
      </w:r>
      <w:r w:rsidRPr="005D6416">
        <w:rPr>
          <w:rFonts w:cs="Calibri"/>
          <w:color w:val="000000"/>
          <w:u w:color="000000"/>
          <w:lang w:eastAsia="it-IT"/>
        </w:rPr>
        <w:t xml:space="preserve"> di persone.  </w:t>
      </w:r>
    </w:p>
    <w:p w:rsidR="00FE1FB9" w:rsidRPr="005D6416" w:rsidRDefault="00FE1FB9" w:rsidP="00FE1FB9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Analizzando i dati del 2015, mediamente</w:t>
      </w:r>
      <w:r w:rsidR="004F60B5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 ogni persona protetta da un ammortizzatore sociale tra sussidio, contribuzione </w:t>
      </w:r>
      <w:r w:rsidR="004F60B5" w:rsidRPr="005D6416">
        <w:rPr>
          <w:rFonts w:cs="Calibri"/>
          <w:color w:val="000000"/>
          <w:u w:color="000000"/>
          <w:lang w:eastAsia="it-IT"/>
        </w:rPr>
        <w:t>figurativa e</w:t>
      </w:r>
      <w:r w:rsidR="004F60B5">
        <w:rPr>
          <w:rFonts w:cs="Calibri"/>
          <w:color w:val="000000"/>
          <w:u w:color="000000"/>
          <w:lang w:eastAsia="it-IT"/>
        </w:rPr>
        <w:t xml:space="preserve"> assegni familiari</w:t>
      </w:r>
      <w:r w:rsidRPr="005D6416">
        <w:rPr>
          <w:rFonts w:cs="Calibri"/>
          <w:color w:val="000000"/>
          <w:u w:color="000000"/>
          <w:lang w:eastAsia="it-IT"/>
        </w:rPr>
        <w:t xml:space="preserve"> ha percepito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7.341 euro</w:t>
      </w:r>
      <w:r w:rsidRPr="005D6416">
        <w:rPr>
          <w:rFonts w:cs="Calibri"/>
          <w:color w:val="000000"/>
          <w:u w:color="000000"/>
          <w:lang w:eastAsia="it-IT"/>
        </w:rPr>
        <w:t xml:space="preserve">, a fronte dei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7.449 euro</w:t>
      </w:r>
      <w:r w:rsidRPr="005D6416">
        <w:rPr>
          <w:rFonts w:cs="Calibri"/>
          <w:color w:val="000000"/>
          <w:u w:color="000000"/>
          <w:lang w:eastAsia="it-IT"/>
        </w:rPr>
        <w:t xml:space="preserve"> del 2014.</w:t>
      </w:r>
    </w:p>
    <w:p w:rsidR="00FE1FB9" w:rsidRPr="005D6416" w:rsidRDefault="00FE1FB9" w:rsidP="00FE1FB9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</w:t>
      </w:r>
    </w:p>
    <w:p w:rsidR="00FE1FB9" w:rsidRPr="005D6416" w:rsidRDefault="00FE1FB9" w:rsidP="00FE1FB9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Nel dettaglio</w:t>
      </w:r>
      <w:r w:rsidR="004F60B5">
        <w:rPr>
          <w:rFonts w:cs="Calibri"/>
          <w:color w:val="000000"/>
          <w:u w:color="000000"/>
          <w:lang w:eastAsia="it-IT"/>
        </w:rPr>
        <w:t>,</w:t>
      </w:r>
      <w:r w:rsidRPr="005D6416">
        <w:rPr>
          <w:rFonts w:cs="Calibri"/>
          <w:color w:val="000000"/>
          <w:u w:color="000000"/>
          <w:lang w:eastAsia="it-IT"/>
        </w:rPr>
        <w:t xml:space="preserve"> i beneficiari di cassa integrazione sociale tra sussidio, contribuzione </w:t>
      </w:r>
      <w:r w:rsidR="004F60B5" w:rsidRPr="005D6416">
        <w:rPr>
          <w:rFonts w:cs="Calibri"/>
          <w:color w:val="000000"/>
          <w:u w:color="000000"/>
          <w:lang w:eastAsia="it-IT"/>
        </w:rPr>
        <w:t>figurativa e</w:t>
      </w:r>
      <w:r w:rsidRPr="005D6416">
        <w:rPr>
          <w:rFonts w:cs="Calibri"/>
          <w:color w:val="000000"/>
          <w:u w:color="000000"/>
          <w:lang w:eastAsia="it-IT"/>
        </w:rPr>
        <w:t xml:space="preserve"> assegni familiari </w:t>
      </w:r>
      <w:r w:rsidR="004F60B5" w:rsidRPr="005D6416">
        <w:rPr>
          <w:rFonts w:cs="Calibri"/>
          <w:color w:val="000000"/>
          <w:u w:color="000000"/>
          <w:lang w:eastAsia="it-IT"/>
        </w:rPr>
        <w:t>hanno percepito</w:t>
      </w:r>
      <w:r w:rsidRPr="005D6416">
        <w:rPr>
          <w:rFonts w:cs="Calibri"/>
          <w:color w:val="000000"/>
          <w:u w:color="000000"/>
          <w:lang w:eastAsia="it-IT"/>
        </w:rPr>
        <w:t xml:space="preserve">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6.572 euro</w:t>
      </w:r>
      <w:r w:rsidRPr="005D6416">
        <w:rPr>
          <w:rFonts w:cs="Calibri"/>
          <w:color w:val="000000"/>
          <w:u w:color="000000"/>
          <w:lang w:eastAsia="it-IT"/>
        </w:rPr>
        <w:t xml:space="preserve"> medi pro capite (5.688 euro nel 2014); per la </w:t>
      </w:r>
      <w:r w:rsidR="004F60B5">
        <w:rPr>
          <w:rFonts w:cs="Calibri"/>
          <w:color w:val="000000"/>
          <w:u w:color="000000"/>
          <w:lang w:eastAsia="it-IT"/>
        </w:rPr>
        <w:t>m</w:t>
      </w:r>
      <w:r w:rsidRPr="005D6416">
        <w:rPr>
          <w:rFonts w:cs="Calibri"/>
          <w:color w:val="000000"/>
          <w:u w:color="000000"/>
          <w:lang w:eastAsia="it-IT"/>
        </w:rPr>
        <w:t xml:space="preserve">obilità 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16.218 euro</w:t>
      </w:r>
      <w:r w:rsidRPr="005D6416">
        <w:rPr>
          <w:rFonts w:cs="Calibri"/>
          <w:color w:val="000000"/>
          <w:u w:color="000000"/>
          <w:lang w:eastAsia="it-IT"/>
        </w:rPr>
        <w:t xml:space="preserve"> (</w:t>
      </w:r>
      <w:r w:rsidRPr="00316697">
        <w:rPr>
          <w:rFonts w:cs="Calibri"/>
          <w:b/>
          <w:color w:val="000000"/>
          <w:u w:color="000000"/>
          <w:lang w:eastAsia="it-IT"/>
        </w:rPr>
        <w:t>15.331</w:t>
      </w:r>
      <w:r w:rsidRPr="005D6416">
        <w:rPr>
          <w:rFonts w:cs="Calibri"/>
          <w:color w:val="000000"/>
          <w:u w:color="000000"/>
          <w:lang w:eastAsia="it-IT"/>
        </w:rPr>
        <w:t xml:space="preserve"> nel 2014); per ASPI, NASPI, MINI ASPI e DISCOLL 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>6.650 euro</w:t>
      </w:r>
      <w:r w:rsidRPr="005D6416">
        <w:rPr>
          <w:rFonts w:cs="Calibri"/>
          <w:color w:val="000000"/>
          <w:u w:color="000000"/>
          <w:lang w:eastAsia="it-IT"/>
        </w:rPr>
        <w:t xml:space="preserve"> (</w:t>
      </w:r>
      <w:r w:rsidRPr="00316697">
        <w:rPr>
          <w:rFonts w:cs="Calibri"/>
          <w:b/>
          <w:color w:val="000000"/>
          <w:u w:color="000000"/>
          <w:lang w:eastAsia="it-IT"/>
        </w:rPr>
        <w:t>7.704</w:t>
      </w:r>
      <w:r w:rsidRPr="005D6416">
        <w:rPr>
          <w:rFonts w:cs="Calibri"/>
          <w:color w:val="000000"/>
          <w:u w:color="000000"/>
          <w:lang w:eastAsia="it-IT"/>
        </w:rPr>
        <w:t xml:space="preserve"> euro nel 2014). </w:t>
      </w:r>
    </w:p>
    <w:p w:rsidR="00FE1FB9" w:rsidRDefault="00FE1FB9" w:rsidP="00FE1FB9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lastRenderedPageBreak/>
        <w:t> </w:t>
      </w:r>
    </w:p>
    <w:p w:rsidR="00FE1FB9" w:rsidRPr="005F642D" w:rsidRDefault="00FE1FB9" w:rsidP="00FE1FB9">
      <w:pPr>
        <w:jc w:val="center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AMMORTIZZATORI: IMPORTO  MEDIO PRO CAPITE PER BENEFICIARI</w:t>
      </w:r>
    </w:p>
    <w:p w:rsidR="00FE1FB9" w:rsidRPr="005F642D" w:rsidRDefault="00FE1FB9" w:rsidP="00FE1FB9">
      <w:pPr>
        <w:jc w:val="center"/>
        <w:rPr>
          <w:rFonts w:cs="Calibri"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color w:val="000000"/>
          <w:sz w:val="16"/>
          <w:szCs w:val="16"/>
          <w:u w:color="000000"/>
          <w:lang w:eastAsia="it-IT"/>
        </w:rPr>
        <w:t>L’importo comprende sia il costo per i sussidi, sia il costo per la contribuzione figurativa e gli ANF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7"/>
        <w:gridCol w:w="2318"/>
        <w:gridCol w:w="2063"/>
      </w:tblGrid>
      <w:tr w:rsidR="00FE1FB9" w:rsidRPr="005F642D" w:rsidTr="00AB4713">
        <w:trPr>
          <w:trHeight w:val="210"/>
          <w:jc w:val="center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TIPOLOGIA DI SOSTEGNO AL REDDITO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ANNO 2015</w:t>
            </w:r>
          </w:p>
        </w:tc>
      </w:tr>
      <w:tr w:rsidR="00FE1FB9" w:rsidRPr="005F642D" w:rsidTr="00AB4713">
        <w:trPr>
          <w:trHeight w:val="210"/>
          <w:jc w:val="center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 xml:space="preserve">TOTALE CASSA INTEGRAZIONE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5.688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6.572</w:t>
            </w:r>
          </w:p>
        </w:tc>
      </w:tr>
      <w:tr w:rsidR="00FE1FB9" w:rsidRPr="005F642D" w:rsidTr="00AB4713">
        <w:trPr>
          <w:trHeight w:val="210"/>
          <w:jc w:val="center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 MOBILITA’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15.331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16.218</w:t>
            </w:r>
          </w:p>
        </w:tc>
      </w:tr>
      <w:tr w:rsidR="00FE1FB9" w:rsidRPr="005F642D" w:rsidTr="00AB4713">
        <w:trPr>
          <w:trHeight w:val="304"/>
          <w:jc w:val="center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 ASPI, NASPI, MINI ASPI E DISOCCUPAZIONE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7.704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000000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6.650</w:t>
            </w:r>
          </w:p>
        </w:tc>
      </w:tr>
      <w:tr w:rsidR="00FE1FB9" w:rsidRPr="005F642D" w:rsidTr="00AB4713">
        <w:trPr>
          <w:trHeight w:val="210"/>
          <w:jc w:val="center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7.449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1FB9" w:rsidRPr="005F1A5D" w:rsidRDefault="00FE1FB9" w:rsidP="00AB4713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it-IT"/>
              </w:rPr>
            </w:pPr>
            <w:r w:rsidRPr="005F1A5D">
              <w:rPr>
                <w:rFonts w:cs="Calibri"/>
                <w:color w:val="FFFFFF"/>
                <w:sz w:val="16"/>
                <w:szCs w:val="16"/>
                <w:u w:color="000000"/>
                <w:bdr w:val="none" w:sz="0" w:space="0" w:color="auto" w:frame="1"/>
                <w:lang w:eastAsia="it-IT"/>
              </w:rPr>
              <w:t>7.341</w:t>
            </w:r>
          </w:p>
        </w:tc>
      </w:tr>
    </w:tbl>
    <w:p w:rsidR="00FE1FB9" w:rsidRPr="005F642D" w:rsidRDefault="00FE1FB9" w:rsidP="00FE1FB9">
      <w:pPr>
        <w:jc w:val="both"/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</w:pP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>Elaborazione UIL Servizi Politiche Territoriali e del Lavoro su Rendiconti Consuntivi</w:t>
      </w:r>
      <w:r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</w:t>
      </w:r>
      <w:r w:rsidRPr="005F642D">
        <w:rPr>
          <w:rFonts w:cs="Calibri"/>
          <w:b/>
          <w:bCs/>
          <w:color w:val="000000"/>
          <w:sz w:val="16"/>
          <w:szCs w:val="16"/>
          <w:u w:color="000000"/>
          <w:lang w:eastAsia="it-IT"/>
        </w:rPr>
        <w:t xml:space="preserve"> INPS</w:t>
      </w:r>
    </w:p>
    <w:p w:rsidR="00FE1FB9" w:rsidRDefault="00FE1FB9" w:rsidP="005D6416">
      <w:pPr>
        <w:jc w:val="both"/>
        <w:rPr>
          <w:rFonts w:cs="Calibri"/>
          <w:color w:val="000000"/>
          <w:u w:color="000000"/>
          <w:lang w:eastAsia="it-IT"/>
        </w:rPr>
      </w:pP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L’auspicio, </w:t>
      </w:r>
      <w:r w:rsidR="004F60B5">
        <w:rPr>
          <w:rFonts w:cs="Calibri"/>
          <w:b/>
          <w:bCs/>
          <w:color w:val="000000"/>
          <w:u w:color="000000"/>
          <w:lang w:eastAsia="it-IT"/>
        </w:rPr>
        <w:t>ha concluso</w:t>
      </w:r>
      <w:r w:rsidRPr="005D6416">
        <w:rPr>
          <w:rFonts w:cs="Calibri"/>
          <w:b/>
          <w:bCs/>
          <w:color w:val="000000"/>
          <w:u w:color="000000"/>
          <w:lang w:eastAsia="it-IT"/>
        </w:rPr>
        <w:t xml:space="preserve"> Loy</w:t>
      </w:r>
      <w:r w:rsidRPr="005D6416">
        <w:rPr>
          <w:rFonts w:cs="Calibri"/>
          <w:color w:val="000000"/>
          <w:u w:color="000000"/>
          <w:lang w:eastAsia="it-IT"/>
        </w:rPr>
        <w:t>, è che con</w:t>
      </w:r>
      <w:r w:rsidRPr="005D6416">
        <w:rPr>
          <w:rFonts w:cs="Calibri"/>
          <w:color w:val="FF0000"/>
          <w:u w:color="FF0000"/>
          <w:lang w:eastAsia="it-IT"/>
        </w:rPr>
        <w:t xml:space="preserve"> </w:t>
      </w:r>
      <w:r w:rsidRPr="005D6416">
        <w:rPr>
          <w:rFonts w:cs="Calibri"/>
          <w:color w:val="000000"/>
          <w:u w:color="000000"/>
          <w:lang w:eastAsia="it-IT"/>
        </w:rPr>
        <w:t>la prossima manovra di bilancio, o successivi interventi normativi, possa essere migliorato l'impianto del nostro sistema di protezione sociale e si rimedi all’errore di fondo del Jobs Act: ridurre la durata e l'intensità degli strumenti di aiuto alle persone in maniera indifferenziata e senza cogliere le profonde differenze del nostro sistema economico, produttivo e sociale. Conseguentemente, da subito, e per rimediare a quell'errore, devono essere riviste le regole e prevedere finanziamenti aggiuntivi per gli ammortizzatori sociali.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 xml:space="preserve"> Infatti, nella manovra non vi sono provvedimenti tesi a dare continuità alle recenti “deroghe” in materia di ammortizzatori sociali che hanno sanato, come dalla UIL fortemente richiesto, </w:t>
      </w:r>
      <w:r w:rsidR="00FF3861" w:rsidRPr="005D6416">
        <w:rPr>
          <w:rFonts w:cs="Calibri"/>
          <w:color w:val="000000"/>
          <w:u w:color="000000"/>
          <w:lang w:eastAsia="it-IT"/>
        </w:rPr>
        <w:t>l’emergenza 2016</w:t>
      </w:r>
      <w:r w:rsidRPr="005D6416">
        <w:rPr>
          <w:rFonts w:cs="Calibri"/>
          <w:color w:val="000000"/>
          <w:u w:color="000000"/>
          <w:lang w:eastAsia="it-IT"/>
        </w:rPr>
        <w:t xml:space="preserve"> ma che si ripresenterà inesorabilmente anche nel 2017.</w:t>
      </w:r>
    </w:p>
    <w:p w:rsidR="00986E7A" w:rsidRPr="005D6416" w:rsidRDefault="004F60B5" w:rsidP="005D6416">
      <w:pPr>
        <w:jc w:val="both"/>
        <w:rPr>
          <w:rFonts w:cs="Calibri"/>
          <w:color w:val="000000"/>
          <w:u w:color="000000"/>
          <w:lang w:eastAsia="it-IT"/>
        </w:rPr>
      </w:pPr>
      <w:r>
        <w:rPr>
          <w:rFonts w:cs="Calibri"/>
          <w:color w:val="000000"/>
          <w:u w:color="000000"/>
          <w:lang w:eastAsia="it-IT"/>
        </w:rPr>
        <w:t>T</w:t>
      </w:r>
      <w:r w:rsidR="00986E7A" w:rsidRPr="005D6416">
        <w:rPr>
          <w:rFonts w:cs="Calibri"/>
          <w:color w:val="000000"/>
          <w:u w:color="000000"/>
          <w:lang w:eastAsia="it-IT"/>
        </w:rPr>
        <w:t>ra l’altro</w:t>
      </w:r>
      <w:r>
        <w:rPr>
          <w:rFonts w:cs="Calibri"/>
          <w:color w:val="000000"/>
          <w:u w:color="000000"/>
          <w:lang w:eastAsia="it-IT"/>
        </w:rPr>
        <w:t>,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come si evince dai dati del rapporto, sia per effetto della ripresina economica, sia per effetto della riforma, per gli ammortizzatori sociali il "disavanzo" tra entrate e uscite è diminuito (</w:t>
      </w:r>
      <w:r w:rsidR="003E3D9F">
        <w:rPr>
          <w:rFonts w:cs="Calibri"/>
          <w:color w:val="000000"/>
          <w:u w:color="000000"/>
          <w:lang w:eastAsia="it-IT"/>
        </w:rPr>
        <w:t>3,5</w:t>
      </w:r>
      <w:r w:rsidR="00986E7A" w:rsidRPr="005D6416">
        <w:rPr>
          <w:rFonts w:cs="Calibri"/>
          <w:color w:val="000000"/>
          <w:u w:color="000000"/>
          <w:lang w:eastAsia="it-IT"/>
        </w:rPr>
        <w:t xml:space="preserve"> miliardi di euro), senza considerare i risparmi, pari a 3,6 miliardi di euro, tra ammortizzatori in deroga e mobilità che il prossimo anno saranno cancellati dalle recenti scelte della politica.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La nostra speranza è che parte di queste risorse possano essere destinate a raggiungere un obiettivo condiviso: ammortizzatori sociali più inclusivi, equi e adattabili, perché la crisi non è ancora passata del tutto.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color w:val="000000"/>
          <w:u w:color="000000"/>
          <w:lang w:eastAsia="it-IT"/>
        </w:rPr>
        <w:t> 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Ottobre 2016</w:t>
      </w:r>
    </w:p>
    <w:p w:rsidR="00986E7A" w:rsidRPr="005D6416" w:rsidRDefault="00986E7A" w:rsidP="005D6416">
      <w:pPr>
        <w:jc w:val="both"/>
        <w:rPr>
          <w:rFonts w:cs="Calibri"/>
          <w:color w:val="000000"/>
          <w:u w:color="000000"/>
          <w:lang w:eastAsia="it-IT"/>
        </w:rPr>
      </w:pPr>
      <w:r w:rsidRPr="005D6416">
        <w:rPr>
          <w:rFonts w:cs="Calibri"/>
          <w:b/>
          <w:bCs/>
          <w:color w:val="000000"/>
          <w:u w:color="000000"/>
          <w:lang w:eastAsia="it-IT"/>
        </w:rPr>
        <w:t> </w:t>
      </w:r>
    </w:p>
    <w:p w:rsidR="00986E7A" w:rsidRDefault="00986E7A" w:rsidP="00507E59">
      <w:pPr>
        <w:jc w:val="both"/>
      </w:pPr>
    </w:p>
    <w:p w:rsidR="00986E7A" w:rsidRDefault="00986E7A"/>
    <w:p w:rsidR="00986E7A" w:rsidRDefault="00986E7A"/>
    <w:p w:rsidR="00986E7A" w:rsidRDefault="00986E7A"/>
    <w:p w:rsidR="00986E7A" w:rsidRDefault="00986E7A"/>
    <w:p w:rsidR="00986E7A" w:rsidRDefault="00986E7A"/>
    <w:sectPr w:rsidR="00986E7A" w:rsidSect="003E2A3A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B" w:rsidRDefault="00F7780B" w:rsidP="003A7999">
      <w:r>
        <w:separator/>
      </w:r>
    </w:p>
  </w:endnote>
  <w:endnote w:type="continuationSeparator" w:id="0">
    <w:p w:rsidR="00F7780B" w:rsidRDefault="00F7780B" w:rsidP="003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4077"/>
      <w:docPartObj>
        <w:docPartGallery w:val="Page Numbers (Bottom of Page)"/>
        <w:docPartUnique/>
      </w:docPartObj>
    </w:sdtPr>
    <w:sdtEndPr/>
    <w:sdtContent>
      <w:p w:rsidR="00AB4713" w:rsidRDefault="00AB47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61">
          <w:rPr>
            <w:noProof/>
          </w:rPr>
          <w:t>1</w:t>
        </w:r>
        <w:r>
          <w:fldChar w:fldCharType="end"/>
        </w:r>
      </w:p>
    </w:sdtContent>
  </w:sdt>
  <w:p w:rsidR="00AB4713" w:rsidRDefault="00AB47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B" w:rsidRDefault="00F7780B" w:rsidP="003A7999">
      <w:r>
        <w:separator/>
      </w:r>
    </w:p>
  </w:footnote>
  <w:footnote w:type="continuationSeparator" w:id="0">
    <w:p w:rsidR="00F7780B" w:rsidRDefault="00F7780B" w:rsidP="003A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C"/>
    <w:rsid w:val="00006DC4"/>
    <w:rsid w:val="00031161"/>
    <w:rsid w:val="000D2CF7"/>
    <w:rsid w:val="000F0FF8"/>
    <w:rsid w:val="00172E94"/>
    <w:rsid w:val="00212228"/>
    <w:rsid w:val="002207A1"/>
    <w:rsid w:val="00251E5F"/>
    <w:rsid w:val="002663E5"/>
    <w:rsid w:val="002E6031"/>
    <w:rsid w:val="00316697"/>
    <w:rsid w:val="00392092"/>
    <w:rsid w:val="003A3CF1"/>
    <w:rsid w:val="003A7999"/>
    <w:rsid w:val="003D2846"/>
    <w:rsid w:val="003E2A3A"/>
    <w:rsid w:val="003E3D9F"/>
    <w:rsid w:val="004237DB"/>
    <w:rsid w:val="004414E0"/>
    <w:rsid w:val="00451E29"/>
    <w:rsid w:val="004C15CD"/>
    <w:rsid w:val="004D3B35"/>
    <w:rsid w:val="004D52AF"/>
    <w:rsid w:val="004F60B5"/>
    <w:rsid w:val="00501680"/>
    <w:rsid w:val="00507E59"/>
    <w:rsid w:val="00513A05"/>
    <w:rsid w:val="00542FFF"/>
    <w:rsid w:val="0058034A"/>
    <w:rsid w:val="005A2C9E"/>
    <w:rsid w:val="005D6416"/>
    <w:rsid w:val="005F1A5D"/>
    <w:rsid w:val="005F642D"/>
    <w:rsid w:val="00617944"/>
    <w:rsid w:val="00671689"/>
    <w:rsid w:val="006E4F58"/>
    <w:rsid w:val="006F613D"/>
    <w:rsid w:val="007022F5"/>
    <w:rsid w:val="00703381"/>
    <w:rsid w:val="00735D1A"/>
    <w:rsid w:val="00791BC7"/>
    <w:rsid w:val="00832CD0"/>
    <w:rsid w:val="008451E8"/>
    <w:rsid w:val="008D781B"/>
    <w:rsid w:val="0091371A"/>
    <w:rsid w:val="00986E7A"/>
    <w:rsid w:val="009C0452"/>
    <w:rsid w:val="009D2940"/>
    <w:rsid w:val="009D5E5A"/>
    <w:rsid w:val="009E358A"/>
    <w:rsid w:val="009E7909"/>
    <w:rsid w:val="00A07171"/>
    <w:rsid w:val="00A76BA9"/>
    <w:rsid w:val="00AB4713"/>
    <w:rsid w:val="00AC003B"/>
    <w:rsid w:val="00AD4CFA"/>
    <w:rsid w:val="00B04414"/>
    <w:rsid w:val="00B05F02"/>
    <w:rsid w:val="00B12DA8"/>
    <w:rsid w:val="00B9097C"/>
    <w:rsid w:val="00C331D0"/>
    <w:rsid w:val="00C37ECA"/>
    <w:rsid w:val="00CA002E"/>
    <w:rsid w:val="00CA0FC5"/>
    <w:rsid w:val="00CE7DB5"/>
    <w:rsid w:val="00CF42E4"/>
    <w:rsid w:val="00D428C7"/>
    <w:rsid w:val="00D70FEB"/>
    <w:rsid w:val="00D94665"/>
    <w:rsid w:val="00D96A89"/>
    <w:rsid w:val="00DB3945"/>
    <w:rsid w:val="00DF686E"/>
    <w:rsid w:val="00F00D49"/>
    <w:rsid w:val="00F04622"/>
    <w:rsid w:val="00F7780B"/>
    <w:rsid w:val="00FE1FB9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E59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rsid w:val="005F642D"/>
    <w:rPr>
      <w:rFonts w:ascii="Times New Roman" w:eastAsia="Arial Unicode MS" w:hAnsi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3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3E5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A7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99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A7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99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E59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rsid w:val="005F642D"/>
    <w:rPr>
      <w:rFonts w:ascii="Times New Roman" w:eastAsia="Arial Unicode MS" w:hAnsi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3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3E5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A7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99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A7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9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</vt:lpstr>
    </vt:vector>
  </TitlesOfParts>
  <Company>Hewlett-Packard Company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</dc:title>
  <dc:creator>Antonella Pirastu</dc:creator>
  <cp:lastModifiedBy>Francesca Book</cp:lastModifiedBy>
  <cp:revision>2</cp:revision>
  <cp:lastPrinted>2016-10-31T14:00:00Z</cp:lastPrinted>
  <dcterms:created xsi:type="dcterms:W3CDTF">2016-10-31T15:51:00Z</dcterms:created>
  <dcterms:modified xsi:type="dcterms:W3CDTF">2016-10-31T15:51:00Z</dcterms:modified>
</cp:coreProperties>
</file>